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47D10">
      <w:pPr>
        <w:spacing w:line="380" w:lineRule="exact"/>
        <w:jc w:val="both"/>
        <w:rPr>
          <w:rFonts w:hint="eastAsia" w:ascii="Times New Roman" w:hAnsi="Times New Roman" w:cs="Times New Roman"/>
          <w:b/>
          <w:bCs/>
          <w:sz w:val="26"/>
          <w:szCs w:val="26"/>
          <w:lang w:val="en-US" w:eastAsia="zh-CN"/>
        </w:rPr>
      </w:pPr>
      <w:r>
        <w:rPr>
          <w:rFonts w:hint="eastAsia" w:ascii="Times New Roman" w:hAnsi="Times New Roman" w:cs="Times New Roman"/>
          <w:b/>
          <w:bCs/>
          <w:sz w:val="26"/>
          <w:szCs w:val="26"/>
          <w:lang w:val="en-US" w:eastAsia="zh-CN"/>
        </w:rPr>
        <w:t>Annex 2:</w:t>
      </w:r>
    </w:p>
    <w:p w14:paraId="7F9F7508">
      <w:pPr>
        <w:pStyle w:val="6"/>
        <w:widowControl/>
        <w:spacing w:beforeAutospacing="0" w:afterAutospacing="0" w:line="360" w:lineRule="auto"/>
        <w:jc w:val="center"/>
        <w:rPr>
          <w:rFonts w:ascii="Times New Roman" w:hAnsi="Times New Roman" w:eastAsia="宋体"/>
          <w:b/>
          <w:color w:val="000000"/>
          <w:kern w:val="24"/>
          <w:sz w:val="36"/>
          <w:szCs w:val="36"/>
        </w:rPr>
      </w:pPr>
    </w:p>
    <w:p w14:paraId="68987721">
      <w:pPr>
        <w:widowControl w:val="0"/>
        <w:spacing w:line="380" w:lineRule="exact"/>
        <w:jc w:val="center"/>
        <w:rPr>
          <w:rFonts w:ascii="Times New Roman" w:hAnsi="Times New Roman" w:eastAsia="宋体" w:cs="Times New Roman"/>
          <w:b/>
          <w:bCs/>
          <w:kern w:val="2"/>
          <w:sz w:val="32"/>
          <w:szCs w:val="32"/>
        </w:rPr>
      </w:pPr>
      <w:r>
        <w:rPr>
          <w:rFonts w:hint="eastAsia" w:ascii="Times New Roman" w:hAnsi="Times New Roman" w:eastAsia="宋体" w:cs="Times New Roman"/>
          <w:b/>
          <w:bCs/>
          <w:kern w:val="2"/>
          <w:sz w:val="32"/>
          <w:szCs w:val="32"/>
          <w:lang w:val="en-US" w:eastAsia="zh-CN"/>
        </w:rPr>
        <w:t>Certification</w:t>
      </w:r>
      <w:r>
        <w:rPr>
          <w:rFonts w:ascii="Times New Roman" w:hAnsi="Times New Roman" w:eastAsia="宋体" w:cs="Times New Roman"/>
          <w:b/>
          <w:bCs/>
          <w:kern w:val="2"/>
          <w:sz w:val="32"/>
          <w:szCs w:val="32"/>
        </w:rPr>
        <w:t xml:space="preserve"> of IMTA International Mountain Hiking Tourism </w:t>
      </w:r>
    </w:p>
    <w:p w14:paraId="41DA9752">
      <w:pPr>
        <w:widowControl w:val="0"/>
        <w:spacing w:line="380" w:lineRule="exact"/>
        <w:jc w:val="center"/>
        <w:rPr>
          <w:rFonts w:ascii="Times New Roman" w:hAnsi="Times New Roman" w:eastAsia="宋体" w:cs="Times New Roman"/>
          <w:b/>
          <w:bCs/>
          <w:kern w:val="2"/>
          <w:sz w:val="32"/>
          <w:szCs w:val="32"/>
        </w:rPr>
      </w:pPr>
      <w:r>
        <w:rPr>
          <w:rFonts w:ascii="Times New Roman" w:hAnsi="Times New Roman" w:eastAsia="宋体" w:cs="Times New Roman"/>
          <w:b/>
          <w:bCs/>
          <w:kern w:val="2"/>
          <w:sz w:val="32"/>
          <w:szCs w:val="32"/>
        </w:rPr>
        <w:t xml:space="preserve">Demonstration Route </w:t>
      </w:r>
    </w:p>
    <w:p w14:paraId="59BCF814">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p>
    <w:p w14:paraId="6E4ADAE8">
      <w:pPr>
        <w:pStyle w:val="6"/>
        <w:widowControl/>
        <w:spacing w:beforeAutospacing="0" w:afterAutospacing="0" w:line="360" w:lineRule="auto"/>
        <w:ind w:firstLine="482" w:firstLineChars="200"/>
        <w:jc w:val="both"/>
        <w:rPr>
          <w:rFonts w:ascii="Times New Roman" w:hAnsi="Times New Roman" w:eastAsia="宋体"/>
          <w:b/>
          <w:color w:val="000000"/>
          <w:kern w:val="24"/>
        </w:rPr>
      </w:pPr>
    </w:p>
    <w:p w14:paraId="2A1D10FF">
      <w:pPr>
        <w:pStyle w:val="6"/>
        <w:widowControl/>
        <w:spacing w:beforeAutospacing="0" w:afterAutospacing="0" w:line="360" w:lineRule="auto"/>
        <w:ind w:firstLine="482" w:firstLineChars="200"/>
        <w:jc w:val="both"/>
        <w:rPr>
          <w:rFonts w:ascii="Times New Roman" w:hAnsi="Times New Roman" w:eastAsia="宋体"/>
          <w:b/>
          <w:color w:val="000000" w:themeColor="text1"/>
          <w:kern w:val="24"/>
          <w14:textFill>
            <w14:solidFill>
              <w14:schemeClr w14:val="tx1"/>
            </w14:solidFill>
          </w14:textFill>
        </w:rPr>
      </w:pPr>
      <w:r>
        <w:rPr>
          <w:rFonts w:ascii="Times New Roman" w:hAnsi="Times New Roman" w:eastAsia="宋体"/>
          <w:b/>
          <w:color w:val="000000"/>
          <w:kern w:val="24"/>
        </w:rPr>
        <w:t xml:space="preserve">I. About IMTA International Mountain Hiking Tourism Demonstration Route </w:t>
      </w:r>
    </w:p>
    <w:p w14:paraId="4899DFED">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This global call for mountain hiking tourism dem</w:t>
      </w:r>
      <w:bookmarkStart w:id="0" w:name="_GoBack"/>
      <w:bookmarkEnd w:id="0"/>
      <w:r>
        <w:rPr>
          <w:rFonts w:ascii="Times New Roman" w:hAnsi="Times New Roman" w:eastAsia="宋体"/>
          <w:color w:val="000000"/>
          <w:kern w:val="24"/>
        </w:rPr>
        <w:t xml:space="preserve">onstration routes is based on the indicator system of the </w:t>
      </w:r>
      <w:r>
        <w:rPr>
          <w:rFonts w:hint="default" w:ascii="Times New Roman" w:hAnsi="Times New Roman" w:eastAsia="宋体" w:cs="Times New Roman"/>
          <w:sz w:val="24"/>
          <w:lang w:val="en-US" w:eastAsia="zh-CN"/>
        </w:rPr>
        <w:t> </w:t>
      </w:r>
      <w:r>
        <w:rPr>
          <w:rFonts w:hint="default" w:ascii="Times New Roman" w:hAnsi="Times New Roman" w:eastAsia="宋体" w:cs="Times New Roman"/>
          <w:i/>
          <w:iCs/>
          <w:sz w:val="24"/>
          <w:lang w:val="en-US" w:eastAsia="zh-CN"/>
        </w:rPr>
        <w:t xml:space="preserve">International </w:t>
      </w:r>
      <w:r>
        <w:rPr>
          <w:rFonts w:hint="eastAsia" w:ascii="Times New Roman" w:hAnsi="Times New Roman" w:eastAsia="宋体" w:cs="Times New Roman"/>
          <w:i/>
          <w:iCs/>
          <w:sz w:val="24"/>
          <w:lang w:val="en-US" w:eastAsia="zh-CN"/>
        </w:rPr>
        <w:t xml:space="preserve">Guidebook for the Development of </w:t>
      </w:r>
      <w:r>
        <w:rPr>
          <w:rFonts w:hint="default" w:ascii="Times New Roman" w:hAnsi="Times New Roman" w:eastAsia="宋体" w:cs="Times New Roman"/>
          <w:i/>
          <w:iCs/>
          <w:sz w:val="24"/>
          <w:lang w:val="en-US" w:eastAsia="zh-CN"/>
        </w:rPr>
        <w:t>Hiking</w:t>
      </w:r>
      <w:r>
        <w:rPr>
          <w:rFonts w:ascii="Times New Roman" w:hAnsi="Times New Roman" w:eastAsia="宋体"/>
          <w:color w:val="000000"/>
          <w:kern w:val="24"/>
        </w:rPr>
        <w:t xml:space="preserve"> compiled by the International Mountain Tourism Alliance (IMTA). It's geared towards the design and development of hiking tourism products that are of benchmark significance, from a high starting point, with high standards, and in an internationalized manner. It is expected to drive the sound development of hiking tourism and provide a model and international standard for the industry. </w:t>
      </w:r>
    </w:p>
    <w:p w14:paraId="616E53B1">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IMTA International Mountain Hiking Tourism Demonstration Route will be a brand name and a symbol of quality for hiking products in the future, providing technical support and help to hiking tourism operators and hiking enthusiasts. The brand image and market value of any tourism destination that has been </w:t>
      </w:r>
      <w:r>
        <w:rPr>
          <w:rFonts w:hint="eastAsia" w:ascii="Times New Roman" w:hAnsi="Times New Roman" w:eastAsia="宋体"/>
          <w:color w:val="000000"/>
          <w:kern w:val="24"/>
          <w:lang w:val="en-US" w:eastAsia="zh-CN"/>
        </w:rPr>
        <w:t>certified</w:t>
      </w:r>
      <w:r>
        <w:rPr>
          <w:rFonts w:ascii="Times New Roman" w:hAnsi="Times New Roman" w:eastAsia="宋体"/>
          <w:color w:val="000000"/>
          <w:kern w:val="24"/>
        </w:rPr>
        <w:t xml:space="preserve"> as an IMTA International Mountain Hiking Tourism Demonstration Route will be enhanced. It will thus become a great promotion tool for the development of hiking tourism. </w:t>
      </w:r>
    </w:p>
    <w:p w14:paraId="539C4F89">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The criteria for accrediting an IMTA International Mountain Hiking Tourism Demonstration Route will be a valuable code of practice or a source of specifications for the planning, creation, operation, and enhancement of hiking trails. Moreover, it can also be a model for regions that are interested in developing hiking tourism products, with a view to contributing to the systematic and standardized development of the hiking tourism industry. </w:t>
      </w:r>
    </w:p>
    <w:p w14:paraId="0AA750B8">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p>
    <w:p w14:paraId="414D0E88">
      <w:pPr>
        <w:pStyle w:val="6"/>
        <w:widowControl/>
        <w:spacing w:beforeAutospacing="0" w:afterAutospacing="0" w:line="360" w:lineRule="auto"/>
        <w:ind w:firstLine="482" w:firstLineChars="200"/>
        <w:jc w:val="both"/>
        <w:rPr>
          <w:rFonts w:ascii="Times New Roman" w:hAnsi="Times New Roman" w:eastAsia="宋体"/>
          <w:b/>
          <w:color w:val="000000" w:themeColor="text1"/>
          <w:kern w:val="24"/>
          <w14:textFill>
            <w14:solidFill>
              <w14:schemeClr w14:val="tx1"/>
            </w14:solidFill>
          </w14:textFill>
        </w:rPr>
      </w:pPr>
      <w:r>
        <w:rPr>
          <w:rFonts w:ascii="Times New Roman" w:hAnsi="Times New Roman" w:eastAsia="宋体"/>
          <w:b/>
          <w:color w:val="000000"/>
          <w:kern w:val="24"/>
        </w:rPr>
        <w:t xml:space="preserve">II. </w:t>
      </w:r>
      <w:r>
        <w:rPr>
          <w:rFonts w:hint="eastAsia" w:ascii="Times New Roman" w:hAnsi="Times New Roman" w:eastAsia="宋体"/>
          <w:b/>
          <w:color w:val="000000"/>
          <w:kern w:val="24"/>
          <w:lang w:val="en-US" w:eastAsia="zh-CN"/>
        </w:rPr>
        <w:t>Certification</w:t>
      </w:r>
      <w:r>
        <w:rPr>
          <w:rFonts w:ascii="Times New Roman" w:hAnsi="Times New Roman" w:eastAsia="宋体"/>
          <w:b/>
          <w:color w:val="000000"/>
          <w:kern w:val="24"/>
        </w:rPr>
        <w:t xml:space="preserve"> Procedures for IMTA International Mountain Hiking Tourism Demonstration Route </w:t>
      </w:r>
    </w:p>
    <w:p w14:paraId="57E2BCBA">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There are two phases in the procedure for </w:t>
      </w:r>
      <w:r>
        <w:rPr>
          <w:rFonts w:hint="eastAsia" w:ascii="Times New Roman" w:hAnsi="Times New Roman" w:eastAsia="宋体"/>
          <w:color w:val="000000"/>
          <w:kern w:val="24"/>
          <w:lang w:val="en-US" w:eastAsia="zh-CN"/>
        </w:rPr>
        <w:t>certifying</w:t>
      </w:r>
      <w:r>
        <w:rPr>
          <w:rFonts w:ascii="Times New Roman" w:hAnsi="Times New Roman" w:eastAsia="宋体"/>
          <w:color w:val="000000"/>
          <w:kern w:val="24"/>
        </w:rPr>
        <w:t xml:space="preserve"> an IMTA International Mountain Hiking Tourism Demonstration Route: </w:t>
      </w:r>
    </w:p>
    <w:p w14:paraId="238EBE0F">
      <w:pPr>
        <w:pStyle w:val="6"/>
        <w:widowControl/>
        <w:spacing w:beforeAutospacing="0" w:afterAutospacing="0" w:line="360" w:lineRule="auto"/>
        <w:ind w:left="0" w:leftChars="0"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1. The interested destination completes the application form and submits it to IMTA. IMTA will appoint experts to train the hiking product operating entity at the declaring destination so that it will have a detailed understanding of the procedures and conditions for the </w:t>
      </w:r>
      <w:r>
        <w:rPr>
          <w:rFonts w:hint="eastAsia" w:ascii="Times New Roman" w:hAnsi="Times New Roman" w:eastAsia="宋体"/>
          <w:color w:val="000000"/>
          <w:kern w:val="24"/>
          <w:lang w:eastAsia="zh-CN"/>
        </w:rPr>
        <w:t>certification</w:t>
      </w:r>
      <w:r>
        <w:rPr>
          <w:rFonts w:ascii="Times New Roman" w:hAnsi="Times New Roman" w:eastAsia="宋体"/>
          <w:color w:val="000000"/>
          <w:kern w:val="24"/>
        </w:rPr>
        <w:t xml:space="preserve">, enabling the declaring entity to make the necessary preparations and responses, and to submit detailed declaration materials. </w:t>
      </w:r>
    </w:p>
    <w:p w14:paraId="6449566D">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2. The declaring entity submits the declaration materials to IMTA, which will proceed with the evaluation and review. For a destination that meets the declaration requirements, the </w:t>
      </w:r>
      <w:r>
        <w:rPr>
          <w:rFonts w:hint="eastAsia" w:ascii="Times New Roman" w:hAnsi="Times New Roman" w:eastAsia="宋体"/>
          <w:color w:val="000000"/>
          <w:kern w:val="24"/>
          <w:lang w:eastAsia="zh-CN"/>
        </w:rPr>
        <w:t>certification</w:t>
      </w:r>
      <w:r>
        <w:rPr>
          <w:rFonts w:hint="eastAsia" w:ascii="Times New Roman" w:hAnsi="Times New Roman" w:eastAsia="宋体"/>
          <w:color w:val="000000"/>
          <w:kern w:val="24"/>
          <w:lang w:val="en-US" w:eastAsia="zh-CN"/>
        </w:rPr>
        <w:t xml:space="preserve"> of </w:t>
      </w:r>
      <w:r>
        <w:rPr>
          <w:rFonts w:ascii="Times New Roman" w:hAnsi="Times New Roman" w:eastAsia="宋体"/>
          <w:color w:val="000000"/>
          <w:kern w:val="24"/>
        </w:rPr>
        <w:t xml:space="preserve">IMTA International Mountain Hiking Tourism Demonstration Route will be granted for a period of three years. </w:t>
      </w:r>
    </w:p>
    <w:p w14:paraId="03515344">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IMTA will organize regular re-examinations and reviews of the demonstration route in accordance with the criteria. The destination may opt for an annual review of renewal or an all-encompassing review on a triennial basis. The destination may extend the certification for a further three years after the expiry of the three-year period. All destinations that have been </w:t>
      </w:r>
      <w:r>
        <w:rPr>
          <w:rFonts w:hint="eastAsia" w:ascii="Times New Roman" w:hAnsi="Times New Roman" w:eastAsia="宋体"/>
          <w:color w:val="000000"/>
          <w:kern w:val="24"/>
          <w:lang w:eastAsia="zh-CN"/>
        </w:rPr>
        <w:t>certified</w:t>
      </w:r>
      <w:r>
        <w:rPr>
          <w:rFonts w:ascii="Times New Roman" w:hAnsi="Times New Roman" w:eastAsia="宋体"/>
          <w:color w:val="000000"/>
          <w:kern w:val="24"/>
        </w:rPr>
        <w:t xml:space="preserve"> as demonstration routes must reapply after six years to ensure their fulfillment of the most up-to-date quality criteria. Any destination that fails to meet the criteria in the review or re-examination and does not rectify the situation within the time limit will be "de-licensed". </w:t>
      </w:r>
    </w:p>
    <w:p w14:paraId="53435EFA">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p>
    <w:p w14:paraId="4CB5F29E">
      <w:pPr>
        <w:pStyle w:val="6"/>
        <w:widowControl/>
        <w:spacing w:beforeAutospacing="0" w:afterAutospacing="0" w:line="360" w:lineRule="auto"/>
        <w:ind w:firstLine="482" w:firstLineChars="200"/>
        <w:jc w:val="both"/>
        <w:rPr>
          <w:rFonts w:ascii="Times New Roman" w:hAnsi="Times New Roman" w:eastAsia="宋体"/>
          <w:b/>
          <w:color w:val="000000" w:themeColor="text1"/>
          <w:kern w:val="24"/>
          <w14:textFill>
            <w14:solidFill>
              <w14:schemeClr w14:val="tx1"/>
            </w14:solidFill>
          </w14:textFill>
        </w:rPr>
      </w:pPr>
      <w:r>
        <w:rPr>
          <w:rFonts w:ascii="Times New Roman" w:hAnsi="Times New Roman" w:eastAsia="宋体"/>
          <w:b/>
          <w:color w:val="000000"/>
          <w:kern w:val="24"/>
        </w:rPr>
        <w:t xml:space="preserve">III. </w:t>
      </w:r>
      <w:r>
        <w:rPr>
          <w:rFonts w:hint="eastAsia" w:ascii="Times New Roman" w:hAnsi="Times New Roman" w:eastAsia="宋体"/>
          <w:b/>
          <w:color w:val="000000"/>
          <w:kern w:val="24"/>
          <w:lang w:val="en-US" w:eastAsia="zh-CN"/>
        </w:rPr>
        <w:t>C</w:t>
      </w:r>
      <w:r>
        <w:rPr>
          <w:rFonts w:hint="eastAsia" w:ascii="Times New Roman" w:hAnsi="Times New Roman" w:eastAsia="宋体"/>
          <w:b/>
          <w:color w:val="000000"/>
          <w:kern w:val="24"/>
          <w:lang w:eastAsia="zh-CN"/>
        </w:rPr>
        <w:t>ertification</w:t>
      </w:r>
      <w:r>
        <w:rPr>
          <w:rFonts w:ascii="Times New Roman" w:hAnsi="Times New Roman" w:eastAsia="宋体"/>
          <w:b/>
          <w:color w:val="000000"/>
          <w:kern w:val="24"/>
        </w:rPr>
        <w:t xml:space="preserve"> Principles of </w:t>
      </w:r>
      <w:r>
        <w:rPr>
          <w:rFonts w:hint="default" w:ascii="Times New Roman" w:hAnsi="Times New Roman" w:eastAsia="宋体"/>
          <w:b/>
          <w:color w:val="000000"/>
          <w:kern w:val="24"/>
          <w:lang w:val="en-US" w:eastAsia="zh-CN"/>
        </w:rPr>
        <w:t>“</w:t>
      </w:r>
      <w:r>
        <w:rPr>
          <w:rFonts w:ascii="Times New Roman" w:hAnsi="Times New Roman" w:eastAsia="宋体"/>
          <w:b/>
          <w:color w:val="000000"/>
          <w:kern w:val="24"/>
        </w:rPr>
        <w:t>IMTA International Mountain Hiking Tourism Demonstration Route</w:t>
      </w:r>
      <w:r>
        <w:rPr>
          <w:rFonts w:hint="default" w:ascii="Times New Roman" w:hAnsi="Times New Roman" w:eastAsia="宋体"/>
          <w:b/>
          <w:color w:val="000000"/>
          <w:kern w:val="24"/>
          <w:lang w:val="en-US" w:eastAsia="zh-CN"/>
        </w:rPr>
        <w:t>”</w:t>
      </w:r>
      <w:r>
        <w:rPr>
          <w:rFonts w:ascii="Times New Roman" w:hAnsi="Times New Roman" w:eastAsia="宋体"/>
          <w:b/>
          <w:color w:val="000000"/>
          <w:kern w:val="24"/>
        </w:rPr>
        <w:t xml:space="preserve"> </w:t>
      </w:r>
    </w:p>
    <w:p w14:paraId="3C102B2C">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1. With premium mountain hiking tourism route resources, with hiking trails or with the conditions to develop hiking trails. </w:t>
      </w:r>
    </w:p>
    <w:p w14:paraId="4B5AC6B5">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2. With acknowledgement and acceptance of the development of mountain hiking tourism trails, of the development of mountain hiking tourism products or of the upgrading of existing trails under the guidance of the </w:t>
      </w:r>
      <w:r>
        <w:rPr>
          <w:rFonts w:hint="eastAsia" w:ascii="Times New Roman" w:hAnsi="Times New Roman" w:eastAsia="宋体"/>
          <w:i/>
          <w:color w:val="000000"/>
          <w:kern w:val="24"/>
          <w:lang w:eastAsia="zh-CN"/>
        </w:rPr>
        <w:t>International Guidebook for the Development of Hiking</w:t>
      </w:r>
      <w:r>
        <w:rPr>
          <w:rFonts w:ascii="Times New Roman" w:hAnsi="Times New Roman" w:eastAsia="宋体"/>
          <w:i/>
          <w:color w:val="000000"/>
          <w:kern w:val="24"/>
        </w:rPr>
        <w:t xml:space="preserve">. </w:t>
      </w:r>
    </w:p>
    <w:p w14:paraId="5392027D">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3. With the agreement to complete the construction, adjustment, standardization and upgrading of mountain hiking tourism products in accordance with the </w:t>
      </w:r>
      <w:r>
        <w:rPr>
          <w:rFonts w:hint="eastAsia" w:ascii="Times New Roman" w:hAnsi="Times New Roman" w:eastAsia="宋体"/>
          <w:i/>
          <w:color w:val="000000"/>
          <w:kern w:val="24"/>
          <w:lang w:eastAsia="zh-CN"/>
        </w:rPr>
        <w:t>International Guidebook for the Development of Hiking</w:t>
      </w:r>
      <w:r>
        <w:rPr>
          <w:rFonts w:ascii="Times New Roman" w:hAnsi="Times New Roman" w:eastAsia="宋体"/>
          <w:i/>
          <w:color w:val="000000"/>
          <w:kern w:val="24"/>
        </w:rPr>
        <w:t xml:space="preserve"> </w:t>
      </w:r>
      <w:r>
        <w:rPr>
          <w:rFonts w:ascii="Times New Roman" w:hAnsi="Times New Roman" w:eastAsia="宋体"/>
          <w:color w:val="000000"/>
          <w:kern w:val="24"/>
        </w:rPr>
        <w:t xml:space="preserve">within one year after </w:t>
      </w:r>
      <w:r>
        <w:rPr>
          <w:rFonts w:ascii="Times New Roman" w:hAnsi="Times New Roman" w:eastAsia="仿宋"/>
          <w:color w:val="000000"/>
        </w:rPr>
        <w:t>receiving the license from the demonstration route</w:t>
      </w:r>
      <w:r>
        <w:rPr>
          <w:rFonts w:ascii="Times New Roman" w:hAnsi="Times New Roman" w:eastAsia="宋体"/>
          <w:color w:val="000000"/>
          <w:kern w:val="24"/>
        </w:rPr>
        <w:t xml:space="preserve">. </w:t>
      </w:r>
    </w:p>
    <w:p w14:paraId="2D37ED13">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p>
    <w:p w14:paraId="5D958C6B">
      <w:pPr>
        <w:pStyle w:val="6"/>
        <w:widowControl/>
        <w:spacing w:beforeAutospacing="0" w:afterAutospacing="0" w:line="360" w:lineRule="auto"/>
        <w:ind w:firstLine="482" w:firstLineChars="200"/>
        <w:jc w:val="both"/>
        <w:rPr>
          <w:rFonts w:ascii="Times New Roman" w:hAnsi="Times New Roman" w:eastAsia="宋体"/>
          <w:b/>
          <w:color w:val="000000" w:themeColor="text1"/>
          <w:kern w:val="24"/>
          <w14:textFill>
            <w14:solidFill>
              <w14:schemeClr w14:val="tx1"/>
            </w14:solidFill>
          </w14:textFill>
        </w:rPr>
      </w:pPr>
      <w:r>
        <w:rPr>
          <w:rFonts w:ascii="Times New Roman" w:hAnsi="Times New Roman" w:eastAsia="宋体"/>
          <w:b/>
          <w:color w:val="000000"/>
          <w:kern w:val="24"/>
        </w:rPr>
        <w:t xml:space="preserve">IV. Criteria for IMTA International Mountain Hiking Tourism Demonstration Route (draft) </w:t>
      </w:r>
    </w:p>
    <w:p w14:paraId="18615D9F">
      <w:pPr>
        <w:pStyle w:val="6"/>
        <w:widowControl/>
        <w:spacing w:beforeAutospacing="0" w:afterAutospacing="0" w:line="360" w:lineRule="auto"/>
        <w:ind w:firstLine="480" w:firstLineChars="200"/>
        <w:jc w:val="both"/>
        <w:rPr>
          <w:rFonts w:ascii="Times New Roman" w:hAnsi="Times New Roman" w:eastAsia="宋体"/>
          <w:b/>
          <w:color w:val="000000" w:themeColor="text1"/>
          <w:kern w:val="24"/>
          <w14:textFill>
            <w14:solidFill>
              <w14:schemeClr w14:val="tx1"/>
            </w14:solidFill>
          </w14:textFill>
        </w:rPr>
      </w:pPr>
      <w:r>
        <w:rPr>
          <w:rFonts w:ascii="Times New Roman" w:hAnsi="Times New Roman" w:eastAsia="宋体"/>
          <w:color w:val="000000"/>
          <w:kern w:val="24"/>
        </w:rPr>
        <w:t xml:space="preserve">The demonstration concerns all or parts of domestic/cross-border hiking routes, with a minimum length of 50 kilometers and a daily hiking itinerary divided into at least three sections. The route shall be evaluated in each of the following two dimensions: </w:t>
      </w:r>
    </w:p>
    <w:p w14:paraId="31CD9205">
      <w:pPr>
        <w:pStyle w:val="6"/>
        <w:widowControl/>
        <w:spacing w:beforeAutospacing="0" w:afterAutospacing="0" w:line="360" w:lineRule="auto"/>
        <w:ind w:firstLine="480" w:firstLineChars="200"/>
        <w:jc w:val="both"/>
        <w:rPr>
          <w:rFonts w:ascii="Times New Roman" w:hAnsi="Times New Roman" w:eastAsia="宋体"/>
          <w:b/>
          <w:color w:val="000000" w:themeColor="text1"/>
          <w:kern w:val="24"/>
          <w14:textFill>
            <w14:solidFill>
              <w14:schemeClr w14:val="tx1"/>
            </w14:solidFill>
          </w14:textFill>
        </w:rPr>
      </w:pPr>
      <w:r>
        <w:rPr>
          <w:rFonts w:ascii="Times New Roman" w:hAnsi="Times New Roman" w:eastAsia="宋体"/>
          <w:color w:val="000000"/>
          <w:kern w:val="24"/>
        </w:rPr>
        <w:t xml:space="preserve">1. Consecutive sections of 4 kilometers in length (about an hour's walk each) </w:t>
      </w:r>
    </w:p>
    <w:p w14:paraId="2253DC9F">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Each section shall be examined according to the following 23 optional criteria and then scored. 1 point for each criterion met. For a 50-kilometer route or more to receive the corresponding certification, all the related sections must score at least 11 points. </w:t>
      </w:r>
    </w:p>
    <w:p w14:paraId="5B4A9E69">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2. The evaluation shall be performed in accordance with the mandatory core criteria along the trail for the daily section and the entire route. </w:t>
      </w:r>
    </w:p>
    <w:p w14:paraId="1F293E1F">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For example, a 200-kilometer route might receive the certification for its entire length, or only one or a few sections that are longer than or equal to 50 kilometers might be certified, or it might be unacceptable because the premium sections are too short and/or not consecutive </w:t>
      </w:r>
    </w:p>
    <w:p w14:paraId="42FB10C9">
      <w:pPr>
        <w:pStyle w:val="6"/>
        <w:widowControl/>
        <w:spacing w:beforeAutospacing="0" w:afterAutospacing="0" w:line="360" w:lineRule="auto"/>
        <w:ind w:firstLine="480" w:firstLineChars="200"/>
        <w:jc w:val="both"/>
        <w:rPr>
          <w:rFonts w:ascii="Times New Roman" w:hAnsi="Times New Roman" w:eastAsia="宋体"/>
          <w:color w:val="000000" w:themeColor="text1"/>
          <w:kern w:val="24"/>
          <w14:textFill>
            <w14:solidFill>
              <w14:schemeClr w14:val="tx1"/>
            </w14:solidFill>
          </w14:textFill>
        </w:rPr>
      </w:pPr>
      <w:r>
        <w:rPr>
          <w:rFonts w:ascii="Times New Roman" w:hAnsi="Times New Roman" w:eastAsia="宋体"/>
          <w:color w:val="000000"/>
          <w:kern w:val="24"/>
        </w:rPr>
        <w:t xml:space="preserve">The evaluation system and criteria are listed below: </w:t>
      </w:r>
    </w:p>
    <w:p w14:paraId="64672961">
      <w:pPr>
        <w:pStyle w:val="2"/>
        <w:tabs>
          <w:tab w:val="left" w:pos="9130"/>
        </w:tabs>
        <w:jc w:val="center"/>
        <w:rPr>
          <w:rFonts w:ascii="Times New Roman" w:hAnsi="Times New Roman" w:eastAsia="宋体" w:cs="Times New Roman"/>
        </w:rPr>
      </w:pPr>
      <w:r>
        <w:rPr>
          <w:rFonts w:ascii="Times New Roman" w:hAnsi="Times New Roman" w:eastAsia="宋体" w:cs="Times New Roman"/>
        </w:rPr>
        <w:t xml:space="preserve">TABLE: The evaluation system and criteria </w:t>
      </w:r>
    </w:p>
    <w:tbl>
      <w:tblPr>
        <w:tblStyle w:val="11"/>
        <w:tblpPr w:leftFromText="180" w:rightFromText="180" w:vertAnchor="text" w:horzAnchor="page" w:tblpX="1423" w:tblpY="156"/>
        <w:tblOverlap w:val="never"/>
        <w:tblW w:w="503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0"/>
        <w:gridCol w:w="9"/>
        <w:gridCol w:w="5935"/>
        <w:gridCol w:w="2822"/>
      </w:tblGrid>
      <w:tr w14:paraId="219CDE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000" w:type="pct"/>
            <w:gridSpan w:val="4"/>
            <w:tcBorders>
              <w:top w:val="single" w:color="4BACC6" w:sz="8" w:space="0"/>
              <w:left w:val="single" w:color="4BACC6" w:sz="8" w:space="0"/>
              <w:bottom w:val="single" w:color="FFFFFF" w:sz="18" w:space="0"/>
              <w:right w:val="single" w:color="4BACC6" w:sz="8" w:space="0"/>
            </w:tcBorders>
            <w:shd w:val="clear" w:color="auto" w:fill="4BACC6"/>
            <w:vAlign w:val="center"/>
          </w:tcPr>
          <w:p w14:paraId="770F0AB9">
            <w:pPr>
              <w:pStyle w:val="10"/>
              <w:spacing w:before="244"/>
              <w:ind w:left="2978" w:right="2553"/>
              <w:jc w:val="center"/>
              <w:rPr>
                <w:rFonts w:ascii="Times New Roman" w:hAnsi="Times New Roman" w:eastAsia="宋体" w:cs="Times New Roman"/>
                <w:color w:val="FFFFFF"/>
                <w:sz w:val="24"/>
                <w:lang w:eastAsia="en-US"/>
              </w:rPr>
            </w:pPr>
            <w:r>
              <w:rPr>
                <w:rFonts w:ascii="Times New Roman" w:hAnsi="Times New Roman" w:eastAsia="宋体" w:cs="Times New Roman"/>
                <w:color w:val="FFFFFF"/>
                <w:sz w:val="24"/>
                <w:lang w:eastAsia="en-US"/>
              </w:rPr>
              <w:t>OPTIONAL CRITERIA -- FOR CONSECUTIVE 4-KM SECTIONS</w:t>
            </w:r>
          </w:p>
        </w:tc>
      </w:tr>
      <w:tr w14:paraId="61B23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3459" w:type="pct"/>
            <w:gridSpan w:val="3"/>
            <w:tcBorders>
              <w:top w:val="single" w:color="FFFFFF" w:sz="18" w:space="0"/>
              <w:left w:val="single" w:color="4BACC6" w:sz="8" w:space="0"/>
              <w:bottom w:val="single" w:color="4BACC6" w:sz="8" w:space="0"/>
              <w:right w:val="single" w:color="4BACC6" w:sz="8" w:space="0"/>
            </w:tcBorders>
            <w:shd w:val="clear" w:color="auto" w:fill="B7DDE8"/>
            <w:vAlign w:val="center"/>
          </w:tcPr>
          <w:p w14:paraId="2B40EA14">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color w:val="404040"/>
                <w:lang w:eastAsia="en-US"/>
              </w:rPr>
              <w:t>Trail Surface Format</w:t>
            </w:r>
          </w:p>
        </w:tc>
        <w:tc>
          <w:tcPr>
            <w:tcW w:w="1540" w:type="pct"/>
            <w:tcBorders>
              <w:top w:val="single" w:color="FFFFFF" w:sz="18" w:space="0"/>
              <w:left w:val="single" w:color="4BACC6" w:sz="8" w:space="0"/>
              <w:bottom w:val="single" w:color="4BACC6" w:sz="8" w:space="0"/>
              <w:right w:val="single" w:color="4BACC6" w:sz="8" w:space="0"/>
            </w:tcBorders>
            <w:shd w:val="clear" w:color="auto" w:fill="B7DDE8"/>
            <w:vAlign w:val="center"/>
          </w:tcPr>
          <w:p w14:paraId="6EEB906D">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color w:val="404040"/>
                <w:lang w:eastAsia="en-US"/>
              </w:rPr>
              <w:t>Numeric Limit</w:t>
            </w:r>
          </w:p>
        </w:tc>
      </w:tr>
      <w:tr w14:paraId="68939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425F08AC">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1</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4E497B1">
            <w:pPr>
              <w:pStyle w:val="10"/>
              <w:ind w:left="125"/>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Natural trails: </w:t>
            </w:r>
            <w:r>
              <w:rPr>
                <w:rFonts w:ascii="Times New Roman" w:hAnsi="Times New Roman" w:eastAsia="宋体" w:cs="Times New Roman"/>
                <w:color w:val="404040"/>
                <w:sz w:val="21"/>
                <w:szCs w:val="21"/>
                <w:lang w:eastAsia="en-US"/>
              </w:rPr>
              <w:t>Natural and non-engineered paths without artificial fortification, easy walking</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FFEB377">
            <w:pPr>
              <w:pStyle w:val="10"/>
              <w:ind w:left="135"/>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At least 1,000m</w:t>
            </w:r>
          </w:p>
          <w:p w14:paraId="66133060">
            <w:pPr>
              <w:pStyle w:val="10"/>
              <w:ind w:left="135"/>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Double count if &gt; 2,000m</w:t>
            </w:r>
          </w:p>
        </w:tc>
      </w:tr>
      <w:tr w14:paraId="33396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F6C6A75">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2</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566736BF">
            <w:pPr>
              <w:pStyle w:val="10"/>
              <w:ind w:left="132"/>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Fortified trails: </w:t>
            </w:r>
            <w:r>
              <w:rPr>
                <w:rFonts w:ascii="Times New Roman" w:hAnsi="Times New Roman" w:eastAsia="宋体" w:cs="Times New Roman"/>
                <w:color w:val="404040"/>
                <w:sz w:val="21"/>
                <w:szCs w:val="21"/>
                <w:lang w:eastAsia="en-US"/>
              </w:rPr>
              <w:t>Paths with artificial non-sealed surfaces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98E9788">
            <w:pPr>
              <w:pStyle w:val="10"/>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Without limit</w:t>
            </w:r>
          </w:p>
        </w:tc>
      </w:tr>
      <w:tr w14:paraId="52A57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10D6EDAC">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3</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5725AF0">
            <w:pPr>
              <w:pStyle w:val="10"/>
              <w:ind w:left="133"/>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Uneven but passable trails: </w:t>
            </w:r>
            <w:r>
              <w:rPr>
                <w:rFonts w:ascii="Times New Roman" w:hAnsi="Times New Roman" w:eastAsia="宋体" w:cs="Times New Roman"/>
                <w:color w:val="404040"/>
                <w:sz w:val="21"/>
                <w:szCs w:val="21"/>
                <w:lang w:eastAsia="en-US"/>
              </w:rPr>
              <w:t>e.g., rough loose stone/boulder cover, heavily eroded paths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59FD14A8">
            <w:pPr>
              <w:pStyle w:val="10"/>
              <w:spacing w:before="1"/>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Maximum 300m</w:t>
            </w:r>
          </w:p>
        </w:tc>
      </w:tr>
      <w:tr w14:paraId="0DB98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B47E91F">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4</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C479511">
            <w:pPr>
              <w:pStyle w:val="10"/>
              <w:ind w:left="134"/>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Sealed surfaces: </w:t>
            </w:r>
            <w:r>
              <w:rPr>
                <w:rFonts w:ascii="Times New Roman" w:hAnsi="Times New Roman" w:eastAsia="宋体" w:cs="Times New Roman"/>
                <w:color w:val="404040"/>
                <w:sz w:val="21"/>
                <w:szCs w:val="21"/>
                <w:lang w:eastAsia="en-US"/>
              </w:rPr>
              <w:t>Tarmac, concrete, pavement as tread way</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E4C1164">
            <w:pPr>
              <w:pStyle w:val="10"/>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Maximum 500m</w:t>
            </w:r>
          </w:p>
        </w:tc>
      </w:tr>
      <w:tr w14:paraId="05C27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6"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12CE3E06">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5</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576489EA">
            <w:pPr>
              <w:pStyle w:val="10"/>
              <w:ind w:left="137"/>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Paths: </w:t>
            </w:r>
            <w:r>
              <w:rPr>
                <w:rFonts w:ascii="Times New Roman" w:hAnsi="Times New Roman" w:eastAsia="宋体" w:cs="Times New Roman"/>
                <w:color w:val="404040"/>
                <w:sz w:val="21"/>
                <w:szCs w:val="21"/>
                <w:lang w:eastAsia="en-US"/>
              </w:rPr>
              <w:t>Trail width less than 1m</w:t>
            </w:r>
          </w:p>
          <w:p w14:paraId="4C7389B9">
            <w:pPr>
              <w:pStyle w:val="10"/>
              <w:tabs>
                <w:tab w:val="left" w:pos="441"/>
              </w:tabs>
              <w:ind w:left="440" w:hanging="304"/>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5.1.</w:t>
            </w:r>
            <w:r>
              <w:rPr>
                <w:rFonts w:ascii="Times New Roman" w:hAnsi="Times New Roman" w:eastAsia="宋体" w:cs="Times New Roman"/>
                <w:color w:val="404040"/>
                <w:sz w:val="21"/>
                <w:szCs w:val="21"/>
                <w:u w:val="single"/>
                <w:lang w:eastAsia="en-US"/>
              </w:rPr>
              <w:tab/>
            </w:r>
            <w:r>
              <w:rPr>
                <w:rFonts w:ascii="Times New Roman" w:hAnsi="Times New Roman" w:eastAsia="宋体" w:cs="Times New Roman"/>
                <w:color w:val="404040"/>
                <w:sz w:val="21"/>
                <w:szCs w:val="21"/>
                <w:u w:val="single"/>
                <w:lang w:eastAsia="en-US"/>
              </w:rPr>
              <w:t>Natural paths: non-engineered paths</w:t>
            </w:r>
          </w:p>
          <w:p w14:paraId="49402396">
            <w:pPr>
              <w:pStyle w:val="10"/>
              <w:tabs>
                <w:tab w:val="left" w:pos="441"/>
              </w:tabs>
              <w:ind w:left="440" w:hanging="304"/>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5.2.</w:t>
            </w:r>
            <w:r>
              <w:rPr>
                <w:rFonts w:ascii="Times New Roman" w:hAnsi="Times New Roman" w:eastAsia="宋体" w:cs="Times New Roman"/>
                <w:color w:val="404040"/>
                <w:sz w:val="21"/>
                <w:szCs w:val="21"/>
                <w:u w:val="single"/>
                <w:lang w:eastAsia="en-US"/>
              </w:rPr>
              <w:tab/>
            </w:r>
            <w:r>
              <w:rPr>
                <w:rFonts w:ascii="Times New Roman" w:hAnsi="Times New Roman" w:eastAsia="宋体" w:cs="Times New Roman"/>
                <w:color w:val="404040"/>
                <w:sz w:val="21"/>
                <w:szCs w:val="21"/>
                <w:u w:val="single"/>
                <w:lang w:eastAsia="en-US"/>
              </w:rPr>
              <w:t>Safety secured path and historical stone paths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905C741">
            <w:pPr>
              <w:pStyle w:val="10"/>
              <w:ind w:left="0" w:right="143"/>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p>
          <w:p w14:paraId="149E8CB4">
            <w:pPr>
              <w:pStyle w:val="10"/>
              <w:ind w:right="143"/>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At least 500m</w:t>
            </w:r>
          </w:p>
          <w:p w14:paraId="5AD00F4B">
            <w:pPr>
              <w:pStyle w:val="10"/>
              <w:ind w:right="143"/>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Double count if &gt; 1,500m</w:t>
            </w:r>
          </w:p>
        </w:tc>
      </w:tr>
      <w:tr w14:paraId="792325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4FED9715">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6</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5F9FF81E">
            <w:pPr>
              <w:pStyle w:val="10"/>
              <w:ind w:left="123"/>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On busy roads: </w:t>
            </w:r>
            <w:r>
              <w:rPr>
                <w:rFonts w:ascii="Times New Roman" w:hAnsi="Times New Roman" w:eastAsia="宋体" w:cs="Times New Roman"/>
                <w:color w:val="404040"/>
                <w:sz w:val="21"/>
                <w:szCs w:val="21"/>
                <w:lang w:eastAsia="en-US"/>
              </w:rPr>
              <w:t>Including unsecured crossings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9682E5E">
            <w:pPr>
              <w:pStyle w:val="10"/>
              <w:spacing w:before="1"/>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Maximum 50m</w:t>
            </w:r>
          </w:p>
        </w:tc>
      </w:tr>
      <w:tr w14:paraId="3990DF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1F21A0B">
            <w:pPr>
              <w:pStyle w:val="10"/>
              <w:jc w:val="center"/>
              <w:rPr>
                <w:rFonts w:ascii="Times New Roman" w:hAnsi="Times New Roman" w:eastAsia="宋体" w:cs="Times New Roman"/>
                <w:b/>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7</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3F9AC5D">
            <w:pPr>
              <w:pStyle w:val="10"/>
              <w:ind w:left="137"/>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 xml:space="preserve">Alongside busy roads: </w:t>
            </w:r>
            <w:r>
              <w:rPr>
                <w:rFonts w:ascii="Times New Roman" w:hAnsi="Times New Roman" w:eastAsia="宋体" w:cs="Times New Roman"/>
                <w:color w:val="404040"/>
                <w:sz w:val="21"/>
                <w:szCs w:val="21"/>
                <w:lang w:eastAsia="en-US"/>
              </w:rPr>
              <w:t>Up to a distance of one lane to the side of the road</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2B571FB">
            <w:pPr>
              <w:pStyle w:val="10"/>
              <w:spacing w:before="1"/>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Maximum</w:t>
            </w:r>
            <w:r>
              <w:rPr>
                <w:rFonts w:ascii="Times New Roman" w:hAnsi="Times New Roman" w:eastAsia="宋体" w:cs="Times New Roman"/>
                <w:sz w:val="21"/>
                <w:szCs w:val="21"/>
                <w:lang w:eastAsia="en-US"/>
              </w:rPr>
              <w:t xml:space="preserve"> 300m</w:t>
            </w:r>
          </w:p>
        </w:tc>
      </w:tr>
      <w:tr w14:paraId="78F37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3459" w:type="pct"/>
            <w:gridSpan w:val="3"/>
            <w:tcBorders>
              <w:top w:val="single" w:color="4BACC6" w:sz="8" w:space="0"/>
              <w:left w:val="single" w:color="4BACC6" w:sz="8" w:space="0"/>
              <w:bottom w:val="single" w:color="4BACC6" w:sz="8" w:space="0"/>
              <w:right w:val="single" w:color="4BACC6" w:sz="8" w:space="0"/>
            </w:tcBorders>
            <w:shd w:val="clear" w:color="auto" w:fill="B7DDE8"/>
            <w:vAlign w:val="center"/>
          </w:tcPr>
          <w:p w14:paraId="39A1EAD3">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color w:val="404040"/>
                <w:lang w:eastAsia="en-US"/>
              </w:rPr>
              <w:t>Trail Routing System/Visitor Guiding</w:t>
            </w:r>
          </w:p>
        </w:tc>
        <w:tc>
          <w:tcPr>
            <w:tcW w:w="1540" w:type="pct"/>
            <w:tcBorders>
              <w:top w:val="single" w:color="4BACC6" w:sz="8" w:space="0"/>
              <w:left w:val="single" w:color="4BACC6" w:sz="8" w:space="0"/>
              <w:bottom w:val="single" w:color="4BACC6" w:sz="8" w:space="0"/>
              <w:right w:val="single" w:color="4BACC6" w:sz="8" w:space="0"/>
            </w:tcBorders>
            <w:shd w:val="clear" w:color="auto" w:fill="B7DDE8"/>
            <w:vAlign w:val="center"/>
          </w:tcPr>
          <w:p w14:paraId="4877134B">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lang w:eastAsia="en-US"/>
              </w:rPr>
              <w:t>Limit value</w:t>
            </w:r>
          </w:p>
        </w:tc>
      </w:tr>
      <w:tr w14:paraId="7DC4EC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vAlign w:val="center"/>
          </w:tcPr>
          <w:p w14:paraId="4BF2F3A6">
            <w:pPr>
              <w:pStyle w:val="10"/>
              <w:ind w:left="137"/>
              <w:jc w:val="center"/>
              <w:rPr>
                <w:rFonts w:ascii="Times New Roman" w:hAnsi="Times New Roman" w:eastAsia="宋体" w:cs="Times New Roman"/>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
                <w:color w:val="404040"/>
                <w:sz w:val="21"/>
                <w:szCs w:val="21"/>
                <w:lang w:eastAsia="en-US"/>
              </w:rPr>
              <w:t>8</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vAlign w:val="center"/>
          </w:tcPr>
          <w:p w14:paraId="6EC8FCCA">
            <w:pPr>
              <w:pStyle w:val="10"/>
              <w:ind w:left="137"/>
              <w:jc w:val="center"/>
              <w:rPr>
                <w:rFonts w:hint="eastAsia" w:ascii="Times New Roman" w:hAnsi="Times New Roman" w:eastAsia="宋体" w:cs="Times New Roman"/>
                <w:color w:val="404040" w:themeColor="text1" w:themeTint="BF"/>
                <w:sz w:val="21"/>
                <w:szCs w:val="21"/>
                <w:u w:val="single"/>
                <w:lang w:eastAsia="zh-CN"/>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Marking</w:t>
            </w:r>
            <w:r>
              <w:rPr>
                <w:rFonts w:hint="eastAsia" w:ascii="Times New Roman" w:hAnsi="Times New Roman" w:eastAsia="宋体" w:cs="Times New Roman"/>
                <w:color w:val="404040"/>
                <w:sz w:val="21"/>
                <w:szCs w:val="21"/>
                <w:u w:val="single"/>
                <w:lang w:val="en-US" w:eastAsia="zh-CN"/>
              </w:rPr>
              <w:t xml:space="preserve"> </w:t>
            </w:r>
            <w:r>
              <w:rPr>
                <w:rFonts w:ascii="Times New Roman" w:hAnsi="Times New Roman" w:eastAsia="宋体" w:cs="Times New Roman"/>
                <w:color w:val="404040"/>
                <w:sz w:val="21"/>
                <w:szCs w:val="21"/>
                <w:u w:val="single"/>
                <w:lang w:eastAsia="en-US"/>
              </w:rPr>
              <w:t xml:space="preserve">Installed according to the </w:t>
            </w:r>
            <w:r>
              <w:rPr>
                <w:rFonts w:hint="eastAsia" w:ascii="Times New Roman" w:hAnsi="Times New Roman" w:eastAsia="宋体" w:cs="Times New Roman"/>
                <w:i/>
                <w:color w:val="404040"/>
                <w:sz w:val="21"/>
                <w:szCs w:val="21"/>
                <w:u w:val="single"/>
                <w:lang w:eastAsia="zh-CN"/>
              </w:rPr>
              <w:t>International Guidebook for the Development of Hiking</w:t>
            </w:r>
          </w:p>
        </w:tc>
        <w:tc>
          <w:tcPr>
            <w:tcW w:w="1540" w:type="pct"/>
            <w:tcBorders>
              <w:top w:val="single" w:color="4BACC6" w:sz="8" w:space="0"/>
              <w:left w:val="single" w:color="4BACC6" w:sz="8" w:space="0"/>
              <w:bottom w:val="single" w:color="4BACC6" w:sz="8" w:space="0"/>
              <w:right w:val="single" w:color="4BACC6" w:sz="8" w:space="0"/>
            </w:tcBorders>
            <w:shd w:val="clear" w:color="auto" w:fill="FFFFFF"/>
            <w:vAlign w:val="center"/>
          </w:tcPr>
          <w:p w14:paraId="671629CE">
            <w:pPr>
              <w:pStyle w:val="10"/>
              <w:ind w:left="137"/>
              <w:jc w:val="center"/>
              <w:rPr>
                <w:rFonts w:ascii="Times New Roman" w:hAnsi="Times New Roman" w:eastAsia="宋体" w:cs="Times New Roman"/>
                <w:color w:val="404040" w:themeColor="text1" w:themeTint="BF"/>
                <w:sz w:val="21"/>
                <w:szCs w:val="21"/>
                <w:u w:val="single"/>
                <w:lang w:eastAsia="en-US"/>
                <w14:textFill>
                  <w14:solidFill>
                    <w14:schemeClr w14:val="tx1">
                      <w14:lumMod w14:val="75000"/>
                      <w14:lumOff w14:val="25000"/>
                    </w14:schemeClr>
                  </w14:solidFill>
                </w14:textFill>
              </w:rPr>
            </w:pPr>
          </w:p>
          <w:p w14:paraId="50CFD4D2">
            <w:pPr>
              <w:pStyle w:val="10"/>
              <w:ind w:left="137"/>
              <w:jc w:val="center"/>
              <w:rPr>
                <w:rFonts w:ascii="Times New Roman" w:hAnsi="Times New Roman" w:eastAsia="宋体" w:cs="Times New Roman"/>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Complete, without gaps, correctly aligned and without errors</w:t>
            </w:r>
          </w:p>
          <w:p w14:paraId="650EB4BF">
            <w:pPr>
              <w:pStyle w:val="10"/>
              <w:ind w:left="137"/>
              <w:jc w:val="center"/>
              <w:rPr>
                <w:rFonts w:ascii="Times New Roman" w:hAnsi="Times New Roman" w:eastAsia="宋体" w:cs="Times New Roman"/>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u w:val="single"/>
                <w:lang w:eastAsia="en-US"/>
              </w:rPr>
              <w:t>As per the Guide</w:t>
            </w:r>
          </w:p>
        </w:tc>
      </w:tr>
      <w:tr w14:paraId="51F3E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26BFDAA">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9</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DCA1AF2">
            <w:pPr>
              <w:pStyle w:val="10"/>
              <w:ind w:left="137"/>
              <w:jc w:val="center"/>
              <w:rPr>
                <w:rFonts w:hint="eastAsia" w:ascii="Times New Roman" w:hAnsi="Times New Roman" w:eastAsia="宋体" w:cs="Times New Roman"/>
                <w:bCs/>
                <w:color w:val="404040" w:themeColor="text1" w:themeTint="BF"/>
                <w:sz w:val="21"/>
                <w:szCs w:val="21"/>
                <w:lang w:eastAsia="zh-CN"/>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 xml:space="preserve">Signposting: Installed according to the </w:t>
            </w:r>
            <w:r>
              <w:rPr>
                <w:rFonts w:hint="eastAsia" w:ascii="Times New Roman" w:hAnsi="Times New Roman" w:eastAsia="宋体" w:cs="Times New Roman"/>
                <w:bCs/>
                <w:i/>
                <w:color w:val="404040"/>
                <w:sz w:val="21"/>
                <w:szCs w:val="21"/>
                <w:u w:val="single"/>
                <w:lang w:eastAsia="zh-CN"/>
              </w:rPr>
              <w:t>International Guidebook for the Development of Hiking</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C68280D">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As per the Guide</w:t>
            </w:r>
          </w:p>
        </w:tc>
      </w:tr>
      <w:tr w14:paraId="6564D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1B871C4">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10</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5760D2E">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Itinerary integrated with other walking trails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CC98E03">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As per the Guide</w:t>
            </w:r>
          </w:p>
        </w:tc>
      </w:tr>
      <w:tr w14:paraId="4EA7D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3459" w:type="pct"/>
            <w:gridSpan w:val="3"/>
            <w:tcBorders>
              <w:top w:val="single" w:color="4BACC6" w:sz="8" w:space="0"/>
              <w:left w:val="single" w:color="4BACC6" w:sz="8" w:space="0"/>
              <w:bottom w:val="single" w:color="4BACC6" w:sz="8" w:space="0"/>
              <w:right w:val="single" w:color="4BACC6" w:sz="8" w:space="0"/>
            </w:tcBorders>
            <w:shd w:val="clear" w:color="auto" w:fill="B7DDE8"/>
            <w:vAlign w:val="center"/>
          </w:tcPr>
          <w:p w14:paraId="24DCBD86">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color w:val="404040"/>
                <w:lang w:eastAsia="en-US"/>
              </w:rPr>
              <w:t>Nature &amp; Landscape</w:t>
            </w:r>
          </w:p>
        </w:tc>
        <w:tc>
          <w:tcPr>
            <w:tcW w:w="1540" w:type="pct"/>
            <w:tcBorders>
              <w:top w:val="single" w:color="4BACC6" w:sz="8" w:space="0"/>
              <w:left w:val="single" w:color="4BACC6" w:sz="8" w:space="0"/>
              <w:bottom w:val="single" w:color="4BACC6" w:sz="8" w:space="0"/>
              <w:right w:val="single" w:color="4BACC6" w:sz="8" w:space="0"/>
            </w:tcBorders>
            <w:shd w:val="clear" w:color="auto" w:fill="B7DDE8"/>
            <w:vAlign w:val="center"/>
          </w:tcPr>
          <w:p w14:paraId="59F493E1">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lang w:eastAsia="en-US"/>
              </w:rPr>
              <w:t>Limit value</w:t>
            </w:r>
          </w:p>
        </w:tc>
      </w:tr>
      <w:tr w14:paraId="629C5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438D5B8">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11</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42FDE0F">
            <w:pPr>
              <w:pStyle w:val="10"/>
              <w:ind w:left="137"/>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Diversity</w:t>
            </w:r>
          </w:p>
          <w:p w14:paraId="5D419F4D">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Distinctly different landscape formations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C6635ED">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15A20F0F">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At least 3</w:t>
            </w:r>
          </w:p>
        </w:tc>
      </w:tr>
      <w:tr w14:paraId="1072B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13"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3EECEDE">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12</w:t>
            </w:r>
          </w:p>
        </w:tc>
        <w:tc>
          <w:tcPr>
            <w:tcW w:w="3245"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49413F17">
            <w:pPr>
              <w:pStyle w:val="10"/>
              <w:ind w:left="137"/>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Natural quietness</w:t>
            </w:r>
          </w:p>
          <w:p w14:paraId="1038CA3B">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No noises from machines or traffic</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540D4E3A">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Separate parcel</w:t>
            </w:r>
          </w:p>
          <w:p w14:paraId="0DE8BA12">
            <w:pPr>
              <w:pStyle w:val="10"/>
              <w:ind w:left="137"/>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At least 1,000m</w:t>
            </w:r>
          </w:p>
        </w:tc>
      </w:tr>
      <w:tr w14:paraId="31D7B0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18" w:type="pct"/>
            <w:gridSpan w:val="2"/>
            <w:tcBorders>
              <w:top w:val="single" w:color="4BACC6" w:sz="4" w:space="0"/>
              <w:left w:val="single" w:color="4BACC6" w:sz="4" w:space="0"/>
              <w:bottom w:val="single" w:color="4BACC6" w:sz="4" w:space="0"/>
              <w:right w:val="single" w:color="4BACC6" w:sz="4" w:space="0"/>
            </w:tcBorders>
            <w:shd w:val="clear" w:color="auto" w:fill="FFFFFF" w:themeFill="background1"/>
            <w:vAlign w:val="center"/>
          </w:tcPr>
          <w:p w14:paraId="30496AE8">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13</w:t>
            </w:r>
          </w:p>
        </w:tc>
        <w:tc>
          <w:tcPr>
            <w:tcW w:w="3240" w:type="pct"/>
            <w:tcBorders>
              <w:top w:val="single" w:color="4BACC6" w:sz="4" w:space="0"/>
              <w:left w:val="single" w:color="4BACC6" w:sz="4" w:space="0"/>
              <w:bottom w:val="single" w:color="4BACC6" w:sz="4" w:space="0"/>
              <w:right w:val="single" w:color="4BACC6" w:sz="4" w:space="0"/>
            </w:tcBorders>
            <w:shd w:val="clear" w:color="auto" w:fill="FFFFFF" w:themeFill="background1"/>
            <w:vAlign w:val="center"/>
          </w:tcPr>
          <w:p w14:paraId="255F9D52">
            <w:pPr>
              <w:pStyle w:val="10"/>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Attractive natural landscapes</w:t>
            </w:r>
          </w:p>
          <w:p w14:paraId="7BD6B7B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Special biotopes and geotopes, impressive forests, coastal landscapes, rock formations, parks, etc.</w:t>
            </w:r>
          </w:p>
        </w:tc>
        <w:tc>
          <w:tcPr>
            <w:tcW w:w="1540" w:type="pct"/>
            <w:tcBorders>
              <w:top w:val="single" w:color="4BACC6" w:sz="4" w:space="0"/>
              <w:left w:val="single" w:color="4BACC6" w:sz="4" w:space="0"/>
              <w:bottom w:val="single" w:color="4BACC6" w:sz="4" w:space="0"/>
              <w:right w:val="single" w:color="4BACC6" w:sz="4" w:space="0"/>
            </w:tcBorders>
            <w:shd w:val="clear" w:color="auto" w:fill="FFFFFF" w:themeFill="background1"/>
            <w:vAlign w:val="center"/>
          </w:tcPr>
          <w:p w14:paraId="5DAF21B9">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7706CE69">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At least 1</w:t>
            </w:r>
          </w:p>
          <w:p w14:paraId="44CBE41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(Double count if more than one)</w:t>
            </w:r>
          </w:p>
        </w:tc>
      </w:tr>
      <w:tr w14:paraId="649C6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18" w:type="pct"/>
            <w:gridSpan w:val="2"/>
            <w:tcBorders>
              <w:top w:val="single" w:color="4BACC6" w:sz="4" w:space="0"/>
              <w:left w:val="single" w:color="4BACC6" w:sz="8" w:space="0"/>
              <w:bottom w:val="single" w:color="4BACC6" w:sz="8" w:space="0"/>
              <w:right w:val="single" w:color="4BACC6" w:sz="8" w:space="0"/>
            </w:tcBorders>
            <w:shd w:val="clear" w:color="auto" w:fill="FFFFFF" w:themeFill="background1"/>
            <w:vAlign w:val="center"/>
          </w:tcPr>
          <w:p w14:paraId="6C56FFDE">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14</w:t>
            </w:r>
          </w:p>
        </w:tc>
        <w:tc>
          <w:tcPr>
            <w:tcW w:w="3240" w:type="pct"/>
            <w:tcBorders>
              <w:top w:val="single" w:color="4BACC6" w:sz="4" w:space="0"/>
              <w:left w:val="single" w:color="4BACC6" w:sz="8" w:space="0"/>
              <w:bottom w:val="single" w:color="4BACC6" w:sz="8" w:space="0"/>
              <w:right w:val="single" w:color="4BACC6" w:sz="8" w:space="0"/>
            </w:tcBorders>
            <w:shd w:val="clear" w:color="auto" w:fill="FFFFFF" w:themeFill="background1"/>
            <w:vAlign w:val="center"/>
          </w:tcPr>
          <w:p w14:paraId="7C4733BF">
            <w:pPr>
              <w:pStyle w:val="10"/>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Natural water</w:t>
            </w:r>
          </w:p>
          <w:p w14:paraId="39273644">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E.g., natural wells, streams, rivers, lakes, bogs, etc.</w:t>
            </w:r>
          </w:p>
        </w:tc>
        <w:tc>
          <w:tcPr>
            <w:tcW w:w="1540" w:type="pct"/>
            <w:tcBorders>
              <w:top w:val="single" w:color="4BACC6" w:sz="4" w:space="0"/>
              <w:left w:val="single" w:color="4BACC6" w:sz="8" w:space="0"/>
              <w:bottom w:val="single" w:color="4BACC6" w:sz="8" w:space="0"/>
              <w:right w:val="single" w:color="4BACC6" w:sz="8" w:space="0"/>
            </w:tcBorders>
            <w:shd w:val="clear" w:color="auto" w:fill="FFFFFF" w:themeFill="background1"/>
            <w:vAlign w:val="center"/>
          </w:tcPr>
          <w:p w14:paraId="3CBC5A8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At least 1</w:t>
            </w:r>
          </w:p>
          <w:p w14:paraId="6EAB78A0">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(Double count if more than one)</w:t>
            </w:r>
          </w:p>
        </w:tc>
      </w:tr>
      <w:tr w14:paraId="06D78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A86208C">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15</w:t>
            </w:r>
          </w:p>
        </w:tc>
        <w:tc>
          <w:tcPr>
            <w:tcW w:w="32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19796D58">
            <w:pPr>
              <w:pStyle w:val="10"/>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Points of natural beauty</w:t>
            </w:r>
          </w:p>
          <w:p w14:paraId="206BE970">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E.g., summits, gorges, ravines, rocks, caves, waterfalls, natural heritage sites, etc.</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733F80A4">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4256CFEC">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At least 1</w:t>
            </w:r>
          </w:p>
          <w:p w14:paraId="0F84EFEF">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(Double count if more than one)</w:t>
            </w:r>
          </w:p>
        </w:tc>
      </w:tr>
      <w:tr w14:paraId="52E52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4" w:hRule="atLeast"/>
        </w:trPr>
        <w:tc>
          <w:tcPr>
            <w:tcW w:w="218" w:type="pct"/>
            <w:gridSpan w:val="2"/>
            <w:tcBorders>
              <w:top w:val="single" w:color="4BACC6" w:sz="8" w:space="0"/>
              <w:left w:val="single" w:color="4BACC6" w:sz="8" w:space="0"/>
              <w:bottom w:val="single" w:color="4BACC6" w:sz="4" w:space="0"/>
              <w:right w:val="single" w:color="4BACC6" w:sz="8" w:space="0"/>
            </w:tcBorders>
            <w:shd w:val="clear" w:color="auto" w:fill="FFFFFF" w:themeFill="background1"/>
            <w:vAlign w:val="center"/>
          </w:tcPr>
          <w:p w14:paraId="0BE6EE21">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16</w:t>
            </w:r>
          </w:p>
        </w:tc>
        <w:tc>
          <w:tcPr>
            <w:tcW w:w="3240" w:type="pct"/>
            <w:tcBorders>
              <w:top w:val="single" w:color="4BACC6" w:sz="8" w:space="0"/>
              <w:left w:val="single" w:color="4BACC6" w:sz="8" w:space="0"/>
              <w:bottom w:val="single" w:color="4BACC6" w:sz="4" w:space="0"/>
              <w:right w:val="single" w:color="4BACC6" w:sz="8" w:space="0"/>
            </w:tcBorders>
            <w:shd w:val="clear" w:color="auto" w:fill="FFFFFF" w:themeFill="background1"/>
            <w:vAlign w:val="center"/>
          </w:tcPr>
          <w:p w14:paraId="60C217EF">
            <w:pPr>
              <w:pStyle w:val="10"/>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Impressive panoramas</w:t>
            </w:r>
          </w:p>
          <w:p w14:paraId="761F9482">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Continuous free views (at least 3 years guaranteed) min. 45-degree openings and 2,000 m visibility</w:t>
            </w:r>
          </w:p>
        </w:tc>
        <w:tc>
          <w:tcPr>
            <w:tcW w:w="1540" w:type="pct"/>
            <w:tcBorders>
              <w:top w:val="single" w:color="4BACC6" w:sz="8" w:space="0"/>
              <w:left w:val="single" w:color="4BACC6" w:sz="8" w:space="0"/>
              <w:bottom w:val="single" w:color="4BACC6" w:sz="4" w:space="0"/>
              <w:right w:val="single" w:color="4BACC6" w:sz="8" w:space="0"/>
            </w:tcBorders>
            <w:shd w:val="clear" w:color="auto" w:fill="FFFFFF" w:themeFill="background1"/>
            <w:vAlign w:val="center"/>
          </w:tcPr>
          <w:p w14:paraId="4751D1AB">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197D67F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At least 1</w:t>
            </w:r>
          </w:p>
          <w:p w14:paraId="09DD3B4A">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(Double count if more than one)</w:t>
            </w:r>
          </w:p>
        </w:tc>
      </w:tr>
      <w:tr w14:paraId="7FEA7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3459" w:type="pct"/>
            <w:gridSpan w:val="3"/>
            <w:tcBorders>
              <w:top w:val="single" w:color="4BACC6" w:sz="4" w:space="0"/>
              <w:left w:val="single" w:color="4BACC6" w:sz="4" w:space="0"/>
              <w:bottom w:val="single" w:color="4BACC6" w:sz="4" w:space="0"/>
              <w:right w:val="single" w:color="4BACC6" w:sz="4" w:space="0"/>
            </w:tcBorders>
            <w:shd w:val="clear" w:color="auto" w:fill="7DDED6" w:themeFill="accent5" w:themeFillTint="99"/>
            <w:vAlign w:val="center"/>
          </w:tcPr>
          <w:p w14:paraId="1FF243E7">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color w:val="404040"/>
                <w:lang w:eastAsia="en-US"/>
              </w:rPr>
              <w:t>Culture</w:t>
            </w:r>
          </w:p>
        </w:tc>
        <w:tc>
          <w:tcPr>
            <w:tcW w:w="1540" w:type="pct"/>
            <w:tcBorders>
              <w:top w:val="single" w:color="4BACC6" w:sz="4" w:space="0"/>
              <w:left w:val="single" w:color="4BACC6" w:sz="4" w:space="0"/>
              <w:bottom w:val="single" w:color="4BACC6" w:sz="4" w:space="0"/>
              <w:right w:val="single" w:color="4BACC6" w:sz="4" w:space="0"/>
            </w:tcBorders>
            <w:shd w:val="clear" w:color="auto" w:fill="7DDED6" w:themeFill="accent5" w:themeFillTint="99"/>
            <w:vAlign w:val="center"/>
          </w:tcPr>
          <w:p w14:paraId="4670C4E6">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lang w:eastAsia="en-US"/>
              </w:rPr>
              <w:t>Limit value</w:t>
            </w:r>
          </w:p>
        </w:tc>
      </w:tr>
      <w:tr w14:paraId="0257F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18" w:type="pct"/>
            <w:gridSpan w:val="2"/>
            <w:tcBorders>
              <w:top w:val="single" w:color="4BACC6" w:sz="4" w:space="0"/>
              <w:left w:val="single" w:color="4BACC6" w:sz="8" w:space="0"/>
              <w:bottom w:val="single" w:color="4BACC6" w:sz="8" w:space="0"/>
              <w:right w:val="single" w:color="4BACC6" w:sz="8" w:space="0"/>
            </w:tcBorders>
            <w:shd w:val="clear" w:color="auto" w:fill="FFFFFF" w:themeFill="background1"/>
            <w:vAlign w:val="center"/>
          </w:tcPr>
          <w:p w14:paraId="45F0F316">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17</w:t>
            </w:r>
          </w:p>
        </w:tc>
        <w:tc>
          <w:tcPr>
            <w:tcW w:w="3240" w:type="pct"/>
            <w:tcBorders>
              <w:top w:val="single" w:color="4BACC6" w:sz="4" w:space="0"/>
              <w:left w:val="single" w:color="4BACC6" w:sz="8" w:space="0"/>
              <w:bottom w:val="single" w:color="4BACC6" w:sz="8" w:space="0"/>
              <w:right w:val="single" w:color="4BACC6" w:sz="8" w:space="0"/>
            </w:tcBorders>
            <w:shd w:val="clear" w:color="auto" w:fill="FFFFFF" w:themeFill="background1"/>
            <w:vAlign w:val="center"/>
          </w:tcPr>
          <w:p w14:paraId="3C44BF78">
            <w:pPr>
              <w:pStyle w:val="10"/>
              <w:jc w:val="center"/>
              <w:rPr>
                <w:rFonts w:ascii="Times New Roman" w:hAnsi="Times New Roman" w:eastAsia="宋体" w:cs="Times New Roman"/>
                <w:bCs/>
                <w:color w:val="000000" w:themeColor="text1"/>
                <w:sz w:val="21"/>
                <w:szCs w:val="21"/>
                <w:u w:val="single"/>
                <w:lang w:eastAsia="en-US"/>
                <w14:textFill>
                  <w14:solidFill>
                    <w14:schemeClr w14:val="tx1"/>
                  </w14:solidFill>
                </w14:textFill>
              </w:rPr>
            </w:pPr>
            <w:r>
              <w:rPr>
                <w:rFonts w:ascii="Times New Roman" w:hAnsi="Times New Roman" w:eastAsia="宋体" w:cs="Times New Roman"/>
                <w:bCs/>
                <w:color w:val="000000"/>
                <w:sz w:val="21"/>
                <w:szCs w:val="21"/>
                <w:u w:val="single"/>
                <w:lang w:eastAsia="en-US"/>
              </w:rPr>
              <w:t>Pleasing urban scenes</w:t>
            </w:r>
          </w:p>
          <w:p w14:paraId="30D5EF05">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color w:val="000000"/>
                <w:sz w:val="21"/>
                <w:szCs w:val="21"/>
                <w:lang w:eastAsia="en-US"/>
              </w:rPr>
              <w:t>E.g., old town areas, representative buildings and squares, rural village scenes</w:t>
            </w:r>
          </w:p>
        </w:tc>
        <w:tc>
          <w:tcPr>
            <w:tcW w:w="1540" w:type="pct"/>
            <w:tcBorders>
              <w:top w:val="single" w:color="4BACC6" w:sz="4" w:space="0"/>
              <w:left w:val="single" w:color="4BACC6" w:sz="8" w:space="0"/>
              <w:bottom w:val="single" w:color="4BACC6" w:sz="8" w:space="0"/>
              <w:right w:val="single" w:color="4BACC6" w:sz="8" w:space="0"/>
            </w:tcBorders>
            <w:shd w:val="clear" w:color="auto" w:fill="FFFFFF" w:themeFill="background1"/>
            <w:vAlign w:val="center"/>
          </w:tcPr>
          <w:p w14:paraId="5B99A89B">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sz w:val="21"/>
                <w:szCs w:val="21"/>
                <w:lang w:eastAsia="en-US"/>
              </w:rPr>
              <w:t>At least 1</w:t>
            </w:r>
          </w:p>
          <w:p w14:paraId="5E652F72">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sz w:val="21"/>
                <w:szCs w:val="21"/>
                <w:lang w:eastAsia="en-US"/>
              </w:rPr>
              <w:t>(Double count if more than one)</w:t>
            </w:r>
          </w:p>
        </w:tc>
      </w:tr>
      <w:tr w14:paraId="59C7F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7074D7A">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18</w:t>
            </w:r>
          </w:p>
        </w:tc>
        <w:tc>
          <w:tcPr>
            <w:tcW w:w="32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2540265">
            <w:pPr>
              <w:pStyle w:val="10"/>
              <w:jc w:val="center"/>
              <w:rPr>
                <w:rFonts w:ascii="Times New Roman" w:hAnsi="Times New Roman" w:eastAsia="宋体" w:cs="Times New Roman"/>
                <w:bCs/>
                <w:color w:val="000000" w:themeColor="text1"/>
                <w:sz w:val="21"/>
                <w:szCs w:val="21"/>
                <w:u w:val="single"/>
                <w:lang w:eastAsia="en-US"/>
                <w14:textFill>
                  <w14:solidFill>
                    <w14:schemeClr w14:val="tx1"/>
                  </w14:solidFill>
                </w14:textFill>
              </w:rPr>
            </w:pPr>
            <w:r>
              <w:rPr>
                <w:rFonts w:ascii="Times New Roman" w:hAnsi="Times New Roman" w:eastAsia="宋体" w:cs="Times New Roman"/>
                <w:bCs/>
                <w:color w:val="000000"/>
                <w:sz w:val="21"/>
                <w:szCs w:val="21"/>
                <w:u w:val="single"/>
                <w:lang w:eastAsia="en-US"/>
              </w:rPr>
              <w:t>Local attractions</w:t>
            </w:r>
          </w:p>
          <w:p w14:paraId="39029C78">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color w:val="000000"/>
                <w:sz w:val="21"/>
                <w:szCs w:val="21"/>
                <w:lang w:eastAsia="en-US"/>
              </w:rPr>
              <w:t>Cultural and historical sites of local and/or regional importance</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5F00A0A">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p>
          <w:p w14:paraId="3820249D">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color w:val="000000"/>
                <w:sz w:val="21"/>
                <w:szCs w:val="21"/>
                <w:lang w:eastAsia="en-US"/>
              </w:rPr>
              <w:t>At least 2</w:t>
            </w:r>
          </w:p>
        </w:tc>
      </w:tr>
      <w:tr w14:paraId="71D84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BE654D5">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color w:val="000000"/>
                <w:sz w:val="21"/>
                <w:szCs w:val="21"/>
                <w:lang w:eastAsia="en-US"/>
              </w:rPr>
              <w:t>19</w:t>
            </w:r>
          </w:p>
        </w:tc>
        <w:tc>
          <w:tcPr>
            <w:tcW w:w="32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A99214B">
            <w:pPr>
              <w:pStyle w:val="10"/>
              <w:jc w:val="center"/>
              <w:rPr>
                <w:rFonts w:ascii="Times New Roman" w:hAnsi="Times New Roman" w:eastAsia="宋体" w:cs="Times New Roman"/>
                <w:bCs/>
                <w:color w:val="000000" w:themeColor="text1"/>
                <w:sz w:val="21"/>
                <w:szCs w:val="21"/>
                <w:u w:val="single"/>
                <w:lang w:eastAsia="en-US"/>
                <w14:textFill>
                  <w14:solidFill>
                    <w14:schemeClr w14:val="tx1"/>
                  </w14:solidFill>
                </w14:textFill>
              </w:rPr>
            </w:pPr>
            <w:r>
              <w:rPr>
                <w:rFonts w:ascii="Times New Roman" w:hAnsi="Times New Roman" w:eastAsia="宋体" w:cs="Times New Roman"/>
                <w:bCs/>
                <w:color w:val="000000"/>
                <w:sz w:val="21"/>
                <w:szCs w:val="21"/>
                <w:u w:val="single"/>
                <w:lang w:eastAsia="en-US"/>
              </w:rPr>
              <w:t>Surrounding attractions</w:t>
            </w:r>
          </w:p>
          <w:p w14:paraId="50527495">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color w:val="000000"/>
                <w:sz w:val="21"/>
                <w:szCs w:val="21"/>
                <w:lang w:eastAsia="en-US"/>
              </w:rPr>
              <w:t>E.g., cultural heritage, religious sites, former residences of celebrities, etc.</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2BFAE9D">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sz w:val="21"/>
                <w:szCs w:val="21"/>
                <w:lang w:eastAsia="en-US"/>
              </w:rPr>
              <w:t>At least 1</w:t>
            </w:r>
          </w:p>
          <w:p w14:paraId="2204A01B">
            <w:pPr>
              <w:pStyle w:val="10"/>
              <w:jc w:val="center"/>
              <w:rPr>
                <w:rFonts w:ascii="Times New Roman" w:hAnsi="Times New Roman" w:eastAsia="宋体" w:cs="Times New Roman"/>
                <w:bCs/>
                <w:color w:val="000000" w:themeColor="text1"/>
                <w:sz w:val="21"/>
                <w:szCs w:val="21"/>
                <w:lang w:eastAsia="en-US"/>
                <w14:textFill>
                  <w14:solidFill>
                    <w14:schemeClr w14:val="tx1"/>
                  </w14:solidFill>
                </w14:textFill>
              </w:rPr>
            </w:pPr>
            <w:r>
              <w:rPr>
                <w:rFonts w:ascii="Times New Roman" w:hAnsi="Times New Roman" w:eastAsia="宋体" w:cs="Times New Roman"/>
                <w:bCs/>
                <w:sz w:val="21"/>
                <w:szCs w:val="21"/>
                <w:lang w:eastAsia="en-US"/>
              </w:rPr>
              <w:t>(Double count if more than one)</w:t>
            </w:r>
          </w:p>
        </w:tc>
      </w:tr>
      <w:tr w14:paraId="713501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3459" w:type="pct"/>
            <w:gridSpan w:val="3"/>
            <w:tcBorders>
              <w:top w:val="single" w:color="4BACC6" w:sz="8" w:space="0"/>
              <w:left w:val="single" w:color="4BACC6" w:sz="8" w:space="0"/>
              <w:bottom w:val="single" w:color="4BACC6" w:sz="8" w:space="0"/>
              <w:right w:val="single" w:color="4BACC6" w:sz="8" w:space="0"/>
            </w:tcBorders>
            <w:shd w:val="clear" w:color="auto" w:fill="7DDED6" w:themeFill="accent5" w:themeFillTint="99"/>
            <w:vAlign w:val="center"/>
          </w:tcPr>
          <w:p w14:paraId="623B8579">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color w:val="404040"/>
                <w:lang w:eastAsia="en-US"/>
              </w:rPr>
              <w:t>Civilization</w:t>
            </w:r>
          </w:p>
        </w:tc>
        <w:tc>
          <w:tcPr>
            <w:tcW w:w="1540" w:type="pct"/>
            <w:tcBorders>
              <w:top w:val="single" w:color="4BACC6" w:sz="8" w:space="0"/>
              <w:left w:val="single" w:color="4BACC6" w:sz="8" w:space="0"/>
              <w:bottom w:val="single" w:color="4BACC6" w:sz="8" w:space="0"/>
              <w:right w:val="single" w:color="4BACC6" w:sz="8" w:space="0"/>
            </w:tcBorders>
            <w:shd w:val="clear" w:color="auto" w:fill="7DDED6" w:themeFill="accent5" w:themeFillTint="99"/>
            <w:vAlign w:val="center"/>
          </w:tcPr>
          <w:p w14:paraId="4A5BCB8E">
            <w:pPr>
              <w:widowControl w:val="0"/>
              <w:autoSpaceDE w:val="0"/>
              <w:autoSpaceDN w:val="0"/>
              <w:jc w:val="center"/>
              <w:rPr>
                <w:rFonts w:ascii="Times New Roman" w:hAnsi="Times New Roman" w:cs="Times New Roman"/>
                <w:color w:val="404040" w:themeColor="text1" w:themeTint="BF"/>
                <w:lang w:eastAsia="en-US"/>
                <w14:textFill>
                  <w14:solidFill>
                    <w14:schemeClr w14:val="tx1">
                      <w14:lumMod w14:val="75000"/>
                      <w14:lumOff w14:val="25000"/>
                    </w14:schemeClr>
                  </w14:solidFill>
                </w14:textFill>
              </w:rPr>
            </w:pPr>
            <w:r>
              <w:rPr>
                <w:rFonts w:ascii="Times New Roman" w:hAnsi="Times New Roman" w:cs="Times New Roman"/>
                <w:lang w:eastAsia="en-US"/>
              </w:rPr>
              <w:t>Limit value</w:t>
            </w:r>
          </w:p>
        </w:tc>
      </w:tr>
      <w:tr w14:paraId="0F8EA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1B342E2">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20</w:t>
            </w:r>
          </w:p>
        </w:tc>
        <w:tc>
          <w:tcPr>
            <w:tcW w:w="32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32763E1A">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Intensively developed environment</w:t>
            </w:r>
          </w:p>
          <w:p w14:paraId="5F804833">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Intensively built-up areas, industrial parks, water treatment plants, high voltage power lines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2DE2CF2B">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2F381D3D">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color w:val="404040"/>
                <w:sz w:val="21"/>
                <w:szCs w:val="21"/>
                <w:lang w:eastAsia="en-US"/>
              </w:rPr>
              <w:t>Maximum</w:t>
            </w:r>
            <w:r>
              <w:rPr>
                <w:rFonts w:ascii="Times New Roman" w:hAnsi="Times New Roman" w:eastAsia="宋体" w:cs="Times New Roman"/>
                <w:bCs/>
                <w:sz w:val="21"/>
                <w:szCs w:val="21"/>
                <w:lang w:eastAsia="en-US"/>
              </w:rPr>
              <w:t xml:space="preserve"> 300m</w:t>
            </w:r>
          </w:p>
        </w:tc>
      </w:tr>
      <w:tr w14:paraId="08351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404D1D53">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21</w:t>
            </w:r>
          </w:p>
        </w:tc>
        <w:tc>
          <w:tcPr>
            <w:tcW w:w="32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198AA7DD">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Service provision</w:t>
            </w:r>
          </w:p>
          <w:p w14:paraId="19CAFC6D">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Gastronomy or shops for catering provisions open from midday</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1A8B714E">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72C0386A">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At least 1</w:t>
            </w:r>
          </w:p>
        </w:tc>
      </w:tr>
      <w:tr w14:paraId="60C94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7A41C142">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22</w:t>
            </w:r>
          </w:p>
        </w:tc>
        <w:tc>
          <w:tcPr>
            <w:tcW w:w="32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624B7739">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Access points for public or feeder buses</w:t>
            </w:r>
          </w:p>
          <w:p w14:paraId="12D39DFE">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Regular service, at least a trip every 2 hours</w:t>
            </w:r>
          </w:p>
        </w:tc>
        <w:tc>
          <w:tcPr>
            <w:tcW w:w="1540" w:type="pct"/>
            <w:tcBorders>
              <w:top w:val="single" w:color="4BACC6" w:sz="8" w:space="0"/>
              <w:left w:val="single" w:color="4BACC6" w:sz="8" w:space="0"/>
              <w:bottom w:val="single" w:color="4BACC6" w:sz="8" w:space="0"/>
              <w:right w:val="single" w:color="4BACC6" w:sz="8" w:space="0"/>
            </w:tcBorders>
            <w:shd w:val="clear" w:color="auto" w:fill="FFFFFF" w:themeFill="background1"/>
            <w:vAlign w:val="center"/>
          </w:tcPr>
          <w:p w14:paraId="0C43A87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12964EE5">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sz w:val="21"/>
                <w:szCs w:val="21"/>
                <w:lang w:eastAsia="en-US"/>
              </w:rPr>
              <w:t>At least 1</w:t>
            </w:r>
          </w:p>
        </w:tc>
      </w:tr>
      <w:tr w14:paraId="2A390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18" w:type="pct"/>
            <w:gridSpan w:val="2"/>
            <w:tcBorders>
              <w:top w:val="single" w:color="4BACC6" w:sz="8" w:space="0"/>
              <w:left w:val="single" w:color="4BACC6" w:sz="8" w:space="0"/>
              <w:bottom w:val="single" w:color="4BACC6" w:sz="8" w:space="0"/>
              <w:right w:val="single" w:color="4BACC6" w:sz="8" w:space="0"/>
            </w:tcBorders>
            <w:shd w:val="clear" w:color="auto" w:fill="FFFFFF"/>
            <w:vAlign w:val="center"/>
          </w:tcPr>
          <w:p w14:paraId="4F3F7F7E">
            <w:pPr>
              <w:pStyle w:val="10"/>
              <w:jc w:val="center"/>
              <w:rPr>
                <w:rFonts w:ascii="Times New Roman" w:hAnsi="Times New Roman" w:eastAsia="宋体" w:cs="Times New Roman"/>
                <w:bCs/>
                <w:color w:val="000000"/>
                <w:sz w:val="21"/>
                <w:szCs w:val="21"/>
                <w:lang w:eastAsia="en-US"/>
              </w:rPr>
            </w:pPr>
            <w:r>
              <w:rPr>
                <w:rFonts w:ascii="Times New Roman" w:hAnsi="Times New Roman" w:eastAsia="宋体" w:cs="Times New Roman"/>
                <w:bCs/>
                <w:color w:val="000000"/>
                <w:sz w:val="21"/>
                <w:szCs w:val="21"/>
                <w:lang w:eastAsia="en-US"/>
              </w:rPr>
              <w:t>23</w:t>
            </w:r>
          </w:p>
        </w:tc>
        <w:tc>
          <w:tcPr>
            <w:tcW w:w="3240" w:type="pct"/>
            <w:tcBorders>
              <w:top w:val="single" w:color="4BACC6" w:sz="8" w:space="0"/>
              <w:left w:val="single" w:color="4BACC6" w:sz="8" w:space="0"/>
              <w:bottom w:val="single" w:color="4BACC6" w:sz="8" w:space="0"/>
              <w:right w:val="single" w:color="4BACC6" w:sz="8" w:space="0"/>
            </w:tcBorders>
            <w:shd w:val="clear" w:color="auto" w:fill="FFFFFF"/>
            <w:vAlign w:val="center"/>
          </w:tcPr>
          <w:p w14:paraId="02C17F64">
            <w:pPr>
              <w:pStyle w:val="10"/>
              <w:jc w:val="center"/>
              <w:rPr>
                <w:rFonts w:ascii="Times New Roman" w:hAnsi="Times New Roman" w:eastAsia="宋体" w:cs="Times New Roman"/>
                <w:bCs/>
                <w:color w:val="404040" w:themeColor="text1" w:themeTint="BF"/>
                <w:sz w:val="21"/>
                <w:szCs w:val="21"/>
                <w:u w:val="single"/>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u w:val="single"/>
                <w:lang w:eastAsia="en-US"/>
              </w:rPr>
              <w:t>Picnic grounds</w:t>
            </w:r>
          </w:p>
          <w:p w14:paraId="52CAB82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E.g., Benches, chairs, huts, etc.</w:t>
            </w:r>
          </w:p>
        </w:tc>
        <w:tc>
          <w:tcPr>
            <w:tcW w:w="1540" w:type="pct"/>
            <w:tcBorders>
              <w:top w:val="single" w:color="4BACC6" w:sz="8" w:space="0"/>
              <w:left w:val="single" w:color="4BACC6" w:sz="8" w:space="0"/>
              <w:bottom w:val="single" w:color="4BACC6" w:sz="8" w:space="0"/>
              <w:right w:val="single" w:color="4BACC6" w:sz="8" w:space="0"/>
            </w:tcBorders>
            <w:shd w:val="clear" w:color="auto" w:fill="FFFFFF"/>
            <w:vAlign w:val="center"/>
          </w:tcPr>
          <w:p w14:paraId="4CA65E87">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p>
          <w:p w14:paraId="1A133770">
            <w:pPr>
              <w:pStyle w:val="10"/>
              <w:jc w:val="center"/>
              <w:rPr>
                <w:rFonts w:ascii="Times New Roman" w:hAnsi="Times New Roman" w:eastAsia="宋体" w:cs="Times New Roman"/>
                <w:bCs/>
                <w:color w:val="404040" w:themeColor="text1" w:themeTint="BF"/>
                <w:sz w:val="21"/>
                <w:szCs w:val="21"/>
                <w:lang w:eastAsia="en-US"/>
                <w14:textFill>
                  <w14:solidFill>
                    <w14:schemeClr w14:val="tx1">
                      <w14:lumMod w14:val="75000"/>
                      <w14:lumOff w14:val="25000"/>
                    </w14:schemeClr>
                  </w14:solidFill>
                </w14:textFill>
              </w:rPr>
            </w:pPr>
            <w:r>
              <w:rPr>
                <w:rFonts w:ascii="Times New Roman" w:hAnsi="Times New Roman" w:eastAsia="宋体" w:cs="Times New Roman"/>
                <w:bCs/>
                <w:color w:val="404040"/>
                <w:sz w:val="21"/>
                <w:szCs w:val="21"/>
                <w:lang w:eastAsia="en-US"/>
              </w:rPr>
              <w:t>At least 2</w:t>
            </w:r>
          </w:p>
        </w:tc>
      </w:tr>
    </w:tbl>
    <w:p w14:paraId="2D70B239">
      <w:pPr>
        <w:rPr>
          <w:rFonts w:ascii="Times New Roman" w:hAnsi="Times New Roman" w:cs="Times New Roman"/>
          <w:color w:val="404040" w:themeColor="text1" w:themeTint="BF"/>
          <w:sz w:val="21"/>
          <w:szCs w:val="21"/>
          <w14:textFill>
            <w14:solidFill>
              <w14:schemeClr w14:val="tx1">
                <w14:lumMod w14:val="75000"/>
                <w14:lumOff w14:val="25000"/>
              </w14:schemeClr>
            </w14:solidFill>
          </w14:textFill>
        </w:rPr>
        <w:sectPr>
          <w:footerReference r:id="rId3" w:type="default"/>
          <w:pgSz w:w="11910" w:h="16157"/>
          <w:pgMar w:top="1417" w:right="1417" w:bottom="1417" w:left="1417" w:header="720" w:footer="720" w:gutter="0"/>
          <w:pgNumType w:fmt="numberInDash"/>
          <w:cols w:space="0" w:num="1"/>
        </w:sectPr>
      </w:pPr>
    </w:p>
    <w:tbl>
      <w:tblPr>
        <w:tblStyle w:val="11"/>
        <w:tblpPr w:leftFromText="180" w:rightFromText="180" w:vertAnchor="text" w:horzAnchor="page" w:tblpX="1413" w:tblpY="-30"/>
        <w:tblOverlap w:val="never"/>
        <w:tblW w:w="503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751"/>
        <w:gridCol w:w="4633"/>
      </w:tblGrid>
      <w:tr w14:paraId="44C1E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000" w:type="pct"/>
            <w:gridSpan w:val="2"/>
            <w:tcBorders>
              <w:top w:val="single" w:color="4BACC6" w:sz="8" w:space="0"/>
              <w:left w:val="single" w:color="4BACC6" w:sz="8" w:space="0"/>
              <w:bottom w:val="single" w:color="FFFFFF" w:sz="18" w:space="0"/>
              <w:right w:val="single" w:color="4BACC6" w:sz="8" w:space="0"/>
            </w:tcBorders>
            <w:shd w:val="clear" w:color="auto" w:fill="4BACC6"/>
          </w:tcPr>
          <w:p w14:paraId="7443B827">
            <w:pPr>
              <w:pStyle w:val="10"/>
              <w:spacing w:before="244"/>
              <w:ind w:left="0"/>
              <w:jc w:val="center"/>
              <w:rPr>
                <w:rFonts w:ascii="Times New Roman" w:hAnsi="Times New Roman" w:eastAsia="宋体" w:cs="Times New Roman"/>
                <w:b/>
                <w:color w:val="FFFFFF"/>
                <w:sz w:val="24"/>
                <w:lang w:eastAsia="en-US"/>
              </w:rPr>
            </w:pPr>
            <w:r>
              <w:rPr>
                <w:rFonts w:ascii="Times New Roman" w:hAnsi="Times New Roman" w:eastAsia="宋体" w:cs="Times New Roman"/>
                <w:b/>
                <w:color w:val="FFFFFF"/>
                <w:sz w:val="24"/>
                <w:lang w:eastAsia="en-US"/>
              </w:rPr>
              <w:t xml:space="preserve">CORE CRITERIA -- BY DAILY STAGES </w:t>
            </w:r>
          </w:p>
        </w:tc>
      </w:tr>
      <w:tr w14:paraId="2F1650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2237" w:type="pct"/>
            <w:tcBorders>
              <w:top w:val="single" w:color="FFFFFF" w:sz="18" w:space="0"/>
              <w:left w:val="single" w:color="4BACC6" w:sz="8" w:space="0"/>
              <w:bottom w:val="single" w:color="4BACC6" w:sz="8" w:space="0"/>
              <w:right w:val="single" w:color="4BACC6" w:sz="8" w:space="0"/>
            </w:tcBorders>
            <w:shd w:val="clear" w:color="auto" w:fill="B7DDE8"/>
          </w:tcPr>
          <w:p w14:paraId="4ACB36A0">
            <w:pPr>
              <w:pStyle w:val="10"/>
              <w:tabs>
                <w:tab w:val="left" w:pos="2886"/>
              </w:tabs>
              <w:ind w:left="1" w:right="142"/>
              <w:jc w:val="center"/>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Core Criteria </w:t>
            </w:r>
          </w:p>
        </w:tc>
        <w:tc>
          <w:tcPr>
            <w:tcW w:w="2763" w:type="pct"/>
            <w:tcBorders>
              <w:top w:val="single" w:color="FFFFFF" w:sz="18" w:space="0"/>
              <w:left w:val="single" w:color="4BACC6" w:sz="8" w:space="0"/>
              <w:bottom w:val="single" w:color="4BACC6" w:sz="8" w:space="0"/>
              <w:right w:val="single" w:color="4BACC6" w:sz="8" w:space="0"/>
            </w:tcBorders>
            <w:shd w:val="clear" w:color="auto" w:fill="B7DDE8"/>
          </w:tcPr>
          <w:p w14:paraId="23CB8594">
            <w:pPr>
              <w:pStyle w:val="10"/>
              <w:ind w:left="985" w:right="98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C</w:t>
            </w:r>
            <w:r>
              <w:rPr>
                <w:rFonts w:ascii="Times New Roman" w:hAnsi="Times New Roman" w:eastAsia="宋体" w:cs="Times New Roman"/>
                <w:color w:val="000000"/>
                <w:sz w:val="21"/>
                <w:szCs w:val="21"/>
                <w:lang w:eastAsia="zh-CN"/>
              </w:rPr>
              <w:t>haracteristic</w:t>
            </w:r>
          </w:p>
        </w:tc>
      </w:tr>
      <w:tr w14:paraId="63BA1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237"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0660D0F0">
            <w:pPr>
              <w:pStyle w:val="10"/>
              <w:spacing w:before="24"/>
              <w:ind w:left="139"/>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u w:val="single"/>
                <w:lang w:eastAsia="en-US"/>
              </w:rPr>
              <w:t xml:space="preserve">Safety </w:t>
            </w:r>
          </w:p>
        </w:tc>
        <w:tc>
          <w:tcPr>
            <w:tcW w:w="2763"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0665EDD6">
            <w:pPr>
              <w:pStyle w:val="10"/>
              <w:spacing w:before="61"/>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Safety measures for each section must be consistent with current national regulations </w:t>
            </w:r>
          </w:p>
        </w:tc>
      </w:tr>
      <w:tr w14:paraId="54F6C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2237"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07F74889">
            <w:pPr>
              <w:pStyle w:val="10"/>
              <w:ind w:left="10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u w:val="single"/>
                <w:lang w:eastAsia="en-US"/>
              </w:rPr>
              <w:t xml:space="preserve">Difficulty indicators for each section of the itinerary </w:t>
            </w:r>
          </w:p>
        </w:tc>
        <w:tc>
          <w:tcPr>
            <w:tcW w:w="2763"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764671A0">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sz w:val="21"/>
                <w:szCs w:val="21"/>
                <w:lang w:eastAsia="en-US"/>
              </w:rPr>
              <w:t xml:space="preserve">As per the Guide </w:t>
            </w:r>
          </w:p>
        </w:tc>
      </w:tr>
      <w:tr w14:paraId="20D11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237"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3E5A475E">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u w:val="single"/>
                <w:lang w:eastAsia="en-US"/>
              </w:rPr>
              <w:t xml:space="preserve">Hiker-friendly entry </w:t>
            </w:r>
          </w:p>
          <w:p w14:paraId="64C3C042">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Walking portal, hikers' parking lot </w:t>
            </w:r>
          </w:p>
        </w:tc>
        <w:tc>
          <w:tcPr>
            <w:tcW w:w="2763"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2AF7E191">
            <w:pPr>
              <w:pStyle w:val="10"/>
              <w:spacing w:before="6"/>
              <w:ind w:left="0"/>
              <w:rPr>
                <w:rFonts w:ascii="Times New Roman" w:hAnsi="Times New Roman" w:eastAsia="宋体" w:cs="Times New Roman"/>
                <w:i/>
                <w:color w:val="000000"/>
                <w:sz w:val="21"/>
                <w:szCs w:val="21"/>
                <w:lang w:eastAsia="en-US"/>
              </w:rPr>
            </w:pPr>
          </w:p>
          <w:p w14:paraId="266B779F">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Availability of information about the trail </w:t>
            </w:r>
          </w:p>
        </w:tc>
      </w:tr>
      <w:tr w14:paraId="6DFAB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237"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43CD10FC">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u w:val="single"/>
                <w:lang w:eastAsia="en-US"/>
              </w:rPr>
              <w:t xml:space="preserve">Mobility </w:t>
            </w:r>
          </w:p>
          <w:p w14:paraId="16048122">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Public transportation network (buses, trains, alternative: feeder buses for hikers) to all stops </w:t>
            </w:r>
          </w:p>
        </w:tc>
        <w:tc>
          <w:tcPr>
            <w:tcW w:w="2763"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E662516">
            <w:pPr>
              <w:pStyle w:val="10"/>
              <w:spacing w:before="3"/>
              <w:ind w:left="0"/>
              <w:rPr>
                <w:rFonts w:ascii="Times New Roman" w:hAnsi="Times New Roman" w:eastAsia="宋体" w:cs="Times New Roman"/>
                <w:i/>
                <w:color w:val="000000"/>
                <w:sz w:val="21"/>
                <w:szCs w:val="21"/>
                <w:lang w:eastAsia="en-US"/>
              </w:rPr>
            </w:pPr>
          </w:p>
          <w:p w14:paraId="1616E089">
            <w:pPr>
              <w:pStyle w:val="10"/>
              <w:spacing w:before="1"/>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At least two trips per day or access to public transportation via designated routes] </w:t>
            </w:r>
          </w:p>
        </w:tc>
      </w:tr>
      <w:tr w14:paraId="56152F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237"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4804D73">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u w:val="single"/>
                <w:lang w:eastAsia="en-US"/>
              </w:rPr>
              <w:t xml:space="preserve">Accommodation </w:t>
            </w:r>
          </w:p>
          <w:p w14:paraId="78A17828">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Hotel, guesthouse, B&amp;B, hostel, campsite, pick-up/drop-off </w:t>
            </w:r>
          </w:p>
        </w:tc>
        <w:tc>
          <w:tcPr>
            <w:tcW w:w="2763"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143332F9">
            <w:pPr>
              <w:pStyle w:val="10"/>
              <w:spacing w:before="61"/>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Accommodation or pick-up/drop-off shall be covered at the origin and destination of each section of the itinerary </w:t>
            </w:r>
          </w:p>
        </w:tc>
      </w:tr>
      <w:tr w14:paraId="1833F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237"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32481FD7">
            <w:pPr>
              <w:pStyle w:val="10"/>
              <w:spacing w:before="35"/>
              <w:ind w:left="99"/>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u w:val="single"/>
                <w:lang w:eastAsia="en-US"/>
              </w:rPr>
              <w:t xml:space="preserve">Luggage consignment </w:t>
            </w:r>
          </w:p>
        </w:tc>
        <w:tc>
          <w:tcPr>
            <w:tcW w:w="2763"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2DC0661A">
            <w:pPr>
              <w:pStyle w:val="10"/>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Luggage consignment services available for pre-order through local service providers (innkeepers, cabs, tour operators) </w:t>
            </w:r>
          </w:p>
        </w:tc>
      </w:tr>
    </w:tbl>
    <w:p w14:paraId="61204B0F">
      <w:pPr>
        <w:rPr>
          <w:rFonts w:ascii="Times New Roman" w:hAnsi="Times New Roman" w:cs="Times New Roman"/>
          <w:color w:val="404040" w:themeColor="text1" w:themeTint="BF"/>
          <w:sz w:val="21"/>
          <w:szCs w:val="21"/>
          <w14:textFill>
            <w14:solidFill>
              <w14:schemeClr w14:val="tx1">
                <w14:lumMod w14:val="75000"/>
                <w14:lumOff w14:val="25000"/>
              </w14:schemeClr>
            </w14:solidFill>
          </w14:textFill>
        </w:rPr>
      </w:pPr>
    </w:p>
    <w:p w14:paraId="41676123">
      <w:pPr>
        <w:rPr>
          <w:rFonts w:ascii="Times New Roman" w:hAnsi="Times New Roman" w:cs="Times New Roman"/>
          <w:color w:val="404040" w:themeColor="text1" w:themeTint="BF"/>
          <w:sz w:val="21"/>
          <w:szCs w:val="21"/>
          <w14:textFill>
            <w14:solidFill>
              <w14:schemeClr w14:val="tx1">
                <w14:lumMod w14:val="75000"/>
                <w14:lumOff w14:val="25000"/>
              </w14:schemeClr>
            </w14:solidFill>
          </w14:textFill>
        </w:rPr>
      </w:pPr>
    </w:p>
    <w:p w14:paraId="20304891">
      <w:pPr>
        <w:rPr>
          <w:rFonts w:ascii="Times New Roman" w:hAnsi="Times New Roman" w:cs="Times New Roman"/>
          <w:color w:val="404040" w:themeColor="text1" w:themeTint="BF"/>
          <w:sz w:val="21"/>
          <w:szCs w:val="21"/>
          <w14:textFill>
            <w14:solidFill>
              <w14:schemeClr w14:val="tx1">
                <w14:lumMod w14:val="75000"/>
                <w14:lumOff w14:val="25000"/>
              </w14:schemeClr>
            </w14:solidFill>
          </w14:textFill>
        </w:rPr>
      </w:pPr>
    </w:p>
    <w:p w14:paraId="6E1E604C">
      <w:pPr>
        <w:rPr>
          <w:rFonts w:ascii="Times New Roman" w:hAnsi="Times New Roman" w:cs="Times New Roman"/>
          <w:color w:val="404040" w:themeColor="text1" w:themeTint="BF"/>
          <w:sz w:val="21"/>
          <w:szCs w:val="21"/>
          <w14:textFill>
            <w14:solidFill>
              <w14:schemeClr w14:val="tx1">
                <w14:lumMod w14:val="75000"/>
                <w14:lumOff w14:val="25000"/>
              </w14:schemeClr>
            </w14:solidFill>
          </w14:textFill>
        </w:rPr>
      </w:pPr>
    </w:p>
    <w:tbl>
      <w:tblPr>
        <w:tblStyle w:val="11"/>
        <w:tblpPr w:leftFromText="180" w:rightFromText="180" w:vertAnchor="text" w:horzAnchor="page" w:tblpX="1409" w:tblpY="162"/>
        <w:tblOverlap w:val="never"/>
        <w:tblW w:w="504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063"/>
        <w:gridCol w:w="5330"/>
      </w:tblGrid>
      <w:tr w14:paraId="2B640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000" w:type="pct"/>
            <w:gridSpan w:val="2"/>
            <w:tcBorders>
              <w:top w:val="single" w:color="4BACC6" w:sz="8" w:space="0"/>
              <w:left w:val="single" w:color="4BACC6" w:sz="8" w:space="0"/>
              <w:bottom w:val="single" w:color="FFFFFF" w:sz="18" w:space="0"/>
              <w:right w:val="single" w:color="4BACC6" w:sz="8" w:space="0"/>
            </w:tcBorders>
            <w:shd w:val="clear" w:color="auto" w:fill="4BACC6"/>
          </w:tcPr>
          <w:p w14:paraId="75E7BFD5">
            <w:pPr>
              <w:pStyle w:val="10"/>
              <w:spacing w:before="244"/>
              <w:ind w:left="0"/>
              <w:jc w:val="center"/>
              <w:rPr>
                <w:rFonts w:ascii="Times New Roman" w:hAnsi="Times New Roman" w:eastAsia="宋体" w:cs="Times New Roman"/>
                <w:b/>
                <w:color w:val="FFFFFF"/>
                <w:sz w:val="21"/>
                <w:szCs w:val="21"/>
                <w:lang w:eastAsia="en-US"/>
              </w:rPr>
            </w:pPr>
            <w:r>
              <w:rPr>
                <w:rFonts w:ascii="Times New Roman" w:hAnsi="Times New Roman" w:eastAsia="宋体" w:cs="Times New Roman"/>
                <w:b/>
                <w:color w:val="FFFFFF"/>
                <w:sz w:val="21"/>
                <w:szCs w:val="21"/>
                <w:lang w:eastAsia="en-US"/>
              </w:rPr>
              <w:t xml:space="preserve">CORE CRITERIA -- FOR THE COMPLETE ROUTE </w:t>
            </w:r>
          </w:p>
        </w:tc>
      </w:tr>
      <w:tr w14:paraId="2CA62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825" w:type="pct"/>
            <w:tcBorders>
              <w:top w:val="single" w:color="FFFFFF" w:sz="18" w:space="0"/>
              <w:left w:val="single" w:color="4BACC6" w:sz="8" w:space="0"/>
              <w:bottom w:val="single" w:color="4BACC6" w:sz="8" w:space="0"/>
              <w:right w:val="single" w:color="4BACC6" w:sz="8" w:space="0"/>
            </w:tcBorders>
            <w:shd w:val="clear" w:color="auto" w:fill="B7DDE8"/>
          </w:tcPr>
          <w:p w14:paraId="65E0DF1D">
            <w:pPr>
              <w:pStyle w:val="10"/>
              <w:tabs>
                <w:tab w:val="left" w:pos="2886"/>
              </w:tabs>
              <w:ind w:left="1" w:right="142"/>
              <w:jc w:val="center"/>
              <w:rPr>
                <w:rFonts w:ascii="Times New Roman" w:hAnsi="Times New Roman" w:eastAsia="宋体" w:cs="Times New Roman"/>
                <w:color w:val="000000"/>
                <w:sz w:val="21"/>
                <w:szCs w:val="21"/>
                <w:lang w:eastAsia="en-US"/>
              </w:rPr>
            </w:pPr>
            <w:r>
              <w:rPr>
                <w:rFonts w:ascii="Times New Roman" w:hAnsi="Times New Roman" w:eastAsia="宋体" w:cs="Times New Roman"/>
                <w:sz w:val="21"/>
                <w:szCs w:val="21"/>
                <w:lang w:eastAsia="en-US"/>
              </w:rPr>
              <w:t xml:space="preserve">Core Criteria </w:t>
            </w:r>
          </w:p>
        </w:tc>
        <w:tc>
          <w:tcPr>
            <w:tcW w:w="3174" w:type="pct"/>
            <w:tcBorders>
              <w:top w:val="single" w:color="FFFFFF" w:sz="18" w:space="0"/>
              <w:left w:val="single" w:color="4BACC6" w:sz="8" w:space="0"/>
              <w:bottom w:val="single" w:color="4BACC6" w:sz="8" w:space="0"/>
              <w:right w:val="single" w:color="4BACC6" w:sz="8" w:space="0"/>
            </w:tcBorders>
            <w:shd w:val="clear" w:color="auto" w:fill="B7DDE8"/>
          </w:tcPr>
          <w:p w14:paraId="4CC74068">
            <w:pPr>
              <w:pStyle w:val="10"/>
              <w:tabs>
                <w:tab w:val="left" w:pos="2886"/>
              </w:tabs>
              <w:ind w:left="1" w:right="142"/>
              <w:jc w:val="center"/>
              <w:rPr>
                <w:rFonts w:ascii="Times New Roman" w:hAnsi="Times New Roman" w:eastAsia="宋体" w:cs="Times New Roman"/>
                <w:color w:val="000000"/>
                <w:sz w:val="21"/>
                <w:szCs w:val="21"/>
                <w:lang w:eastAsia="en-US"/>
              </w:rPr>
            </w:pPr>
            <w:r>
              <w:rPr>
                <w:rFonts w:hint="eastAsia" w:ascii="Times New Roman" w:hAnsi="Times New Roman" w:eastAsia="宋体" w:cs="Times New Roman"/>
                <w:color w:val="000000"/>
                <w:sz w:val="21"/>
                <w:szCs w:val="21"/>
                <w:lang w:eastAsia="zh-CN"/>
              </w:rPr>
              <w:t>C</w:t>
            </w:r>
            <w:r>
              <w:rPr>
                <w:rFonts w:ascii="Times New Roman" w:hAnsi="Times New Roman" w:eastAsia="宋体" w:cs="Times New Roman"/>
                <w:color w:val="000000"/>
                <w:sz w:val="21"/>
                <w:szCs w:val="21"/>
                <w:lang w:eastAsia="zh-CN"/>
              </w:rPr>
              <w:t>haracteristic</w:t>
            </w:r>
          </w:p>
        </w:tc>
      </w:tr>
      <w:tr w14:paraId="3779FB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63ED235">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Natural trails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3F84A879">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At least 35% of the entire route </w:t>
            </w:r>
          </w:p>
        </w:tc>
      </w:tr>
      <w:tr w14:paraId="7ED8A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60D661D1">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Uneven but passable trails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731A0129">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Max 5% of the entire route, max. 1,500m in a separate parcel </w:t>
            </w:r>
          </w:p>
        </w:tc>
      </w:tr>
      <w:tr w14:paraId="1CF389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730D4236">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Sealed surfaces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1EF38943">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Max 20% of the entire route, max. 3,000m in a separate parcel </w:t>
            </w:r>
          </w:p>
        </w:tc>
      </w:tr>
      <w:tr w14:paraId="23A82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068D2F97">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On busy roads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1A888D46">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Max 3% of the entire route, max. 300m in a separate parcel </w:t>
            </w:r>
          </w:p>
        </w:tc>
      </w:tr>
      <w:tr w14:paraId="61740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159228C2">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Alongside busy roads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1F02578A">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Max 10% of the entire route, max. 3,000m in a separate parcel </w:t>
            </w:r>
          </w:p>
        </w:tc>
      </w:tr>
      <w:tr w14:paraId="3285F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130DEADC">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sz w:val="21"/>
                <w:szCs w:val="21"/>
                <w:lang w:eastAsia="en-US"/>
              </w:rPr>
              <w:t xml:space="preserve">Marking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5BDB71F">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100% of the entire route </w:t>
            </w:r>
          </w:p>
        </w:tc>
      </w:tr>
      <w:tr w14:paraId="753F9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673D434F">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sz w:val="21"/>
                <w:szCs w:val="21"/>
                <w:lang w:eastAsia="en-US"/>
              </w:rPr>
              <w:t xml:space="preserve">Diversity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258DEA93">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At least 2 formation changes per 8 km </w:t>
            </w:r>
          </w:p>
        </w:tc>
      </w:tr>
      <w:tr w14:paraId="63E75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4F9E372">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Experience/adventure potential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3EEFB10">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At least 4 points per 8 km as the optional criteria 13-19 </w:t>
            </w:r>
          </w:p>
        </w:tc>
      </w:tr>
      <w:tr w14:paraId="5B8DF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99E4E63">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sz w:val="21"/>
                <w:szCs w:val="21"/>
                <w:lang w:eastAsia="en-US"/>
              </w:rPr>
              <w:t xml:space="preserve">Intensively developed environment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74CF5F82">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Max 7.5% of the entire route, </w:t>
            </w:r>
          </w:p>
          <w:p w14:paraId="615A9D7B">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Max. 3,000m in a separate parcel </w:t>
            </w:r>
          </w:p>
        </w:tc>
      </w:tr>
      <w:tr w14:paraId="109F3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4"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5611758B">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Hiker-friendly entry </w:t>
            </w: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381BC405">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At least 1 headboard with information in more than 1 language </w:t>
            </w:r>
          </w:p>
          <w:p w14:paraId="291ADF32">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(Native language plus official language such as English) </w:t>
            </w:r>
          </w:p>
        </w:tc>
      </w:tr>
      <w:tr w14:paraId="4208D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825"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67389A91">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Accessibility of origin/destination </w:t>
            </w:r>
          </w:p>
          <w:p w14:paraId="10A021E4">
            <w:pPr>
              <w:pStyle w:val="10"/>
              <w:ind w:left="112"/>
              <w:rPr>
                <w:rFonts w:ascii="Times New Roman" w:hAnsi="Times New Roman" w:eastAsia="宋体" w:cs="Times New Roman"/>
                <w:color w:val="000000"/>
                <w:sz w:val="21"/>
                <w:szCs w:val="21"/>
                <w:u w:val="single"/>
                <w:lang w:eastAsia="en-US"/>
              </w:rPr>
            </w:pPr>
            <w:r>
              <w:rPr>
                <w:rFonts w:ascii="Times New Roman" w:hAnsi="Times New Roman" w:eastAsia="宋体" w:cs="Times New Roman"/>
                <w:color w:val="000000"/>
                <w:sz w:val="21"/>
                <w:szCs w:val="21"/>
                <w:u w:val="single"/>
                <w:lang w:eastAsia="en-US"/>
              </w:rPr>
              <w:t xml:space="preserve">Public transportation available between origin and destination </w:t>
            </w:r>
          </w:p>
          <w:p w14:paraId="02422F4C">
            <w:pPr>
              <w:pStyle w:val="10"/>
              <w:ind w:left="0"/>
              <w:rPr>
                <w:rFonts w:ascii="Times New Roman" w:hAnsi="Times New Roman" w:eastAsia="宋体" w:cs="Times New Roman"/>
                <w:color w:val="000000"/>
                <w:sz w:val="21"/>
                <w:szCs w:val="21"/>
                <w:u w:val="single"/>
                <w:lang w:eastAsia="en-US"/>
              </w:rPr>
            </w:pPr>
          </w:p>
        </w:tc>
        <w:tc>
          <w:tcPr>
            <w:tcW w:w="3174" w:type="pct"/>
            <w:tcBorders>
              <w:top w:val="single" w:color="4BACC6" w:sz="8" w:space="0"/>
              <w:left w:val="single" w:color="4BACC6" w:sz="8" w:space="0"/>
              <w:bottom w:val="single" w:color="4BACC6" w:sz="8" w:space="0"/>
              <w:right w:val="single" w:color="4BACC6" w:sz="8" w:space="0"/>
            </w:tcBorders>
            <w:shd w:val="clear" w:color="auto" w:fill="FFFFFF" w:themeFill="background1"/>
          </w:tcPr>
          <w:p w14:paraId="01D9E068">
            <w:pPr>
              <w:pStyle w:val="10"/>
              <w:ind w:left="112"/>
              <w:rPr>
                <w:rFonts w:ascii="Times New Roman" w:hAnsi="Times New Roman" w:eastAsia="宋体" w:cs="Times New Roman"/>
                <w:color w:val="000000"/>
                <w:sz w:val="21"/>
                <w:szCs w:val="21"/>
                <w:lang w:eastAsia="en-US"/>
              </w:rPr>
            </w:pPr>
          </w:p>
          <w:p w14:paraId="2914DF8C">
            <w:pPr>
              <w:pStyle w:val="10"/>
              <w:ind w:left="112"/>
              <w:rPr>
                <w:rFonts w:ascii="Times New Roman" w:hAnsi="Times New Roman" w:eastAsia="宋体" w:cs="Times New Roman"/>
                <w:color w:val="000000"/>
                <w:sz w:val="21"/>
                <w:szCs w:val="21"/>
                <w:lang w:eastAsia="en-US"/>
              </w:rPr>
            </w:pPr>
            <w:r>
              <w:rPr>
                <w:rFonts w:ascii="Times New Roman" w:hAnsi="Times New Roman" w:eastAsia="宋体" w:cs="Times New Roman"/>
                <w:color w:val="000000"/>
                <w:sz w:val="21"/>
                <w:szCs w:val="21"/>
                <w:lang w:eastAsia="en-US"/>
              </w:rPr>
              <w:t xml:space="preserve">At least 2 services per day </w:t>
            </w:r>
          </w:p>
        </w:tc>
      </w:tr>
    </w:tbl>
    <w:p w14:paraId="4DAE4E62">
      <w:pPr>
        <w:rPr>
          <w:rFonts w:ascii="Times New Roman" w:hAnsi="Times New Roman" w:cs="Times New Roman"/>
          <w:color w:val="404040" w:themeColor="text1" w:themeTint="BF"/>
          <w:sz w:val="21"/>
          <w:szCs w:val="21"/>
          <w14:textFill>
            <w14:solidFill>
              <w14:schemeClr w14:val="tx1">
                <w14:lumMod w14:val="75000"/>
                <w14:lumOff w14:val="25000"/>
              </w14:schemeClr>
            </w14:solidFill>
          </w14:textFill>
        </w:rPr>
      </w:pPr>
    </w:p>
    <w:p w14:paraId="7E87C6FA">
      <w:pPr>
        <w:pStyle w:val="12"/>
        <w:ind w:left="0" w:leftChars="0" w:firstLine="0" w:firstLineChars="0"/>
        <w:rPr>
          <w:rFonts w:hint="default"/>
          <w:lang w:val="en-US" w:eastAsia="zh-CN"/>
        </w:rPr>
        <w:sectPr>
          <w:pgSz w:w="11906" w:h="16838"/>
          <w:pgMar w:top="1440" w:right="1800" w:bottom="1440" w:left="1800" w:header="851" w:footer="992" w:gutter="0"/>
          <w:pgNumType w:fmt="numberInDash"/>
          <w:cols w:space="425" w:num="1"/>
          <w:docGrid w:type="lines" w:linePitch="312" w:charSpace="0"/>
        </w:sectPr>
      </w:pPr>
    </w:p>
    <w:p w14:paraId="50409FD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obe 宋体 Std L">
    <w:altName w:val="宋体"/>
    <w:panose1 w:val="000000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42900">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C8EFB4">
                          <w:pPr>
                            <w:pStyle w:val="4"/>
                          </w:pPr>
                          <w:r>
                            <w:rPr>
                              <w:sz w:val="24"/>
                            </w:rPr>
                            <w:fldChar w:fldCharType="begin"/>
                          </w:r>
                          <w:r>
                            <w:rPr>
                              <w:sz w:val="24"/>
                            </w:rPr>
                            <w:instrText xml:space="preserve"> PAGE  \* MERGEFORMAT </w:instrText>
                          </w:r>
                          <w:r>
                            <w:rPr>
                              <w:sz w:val="24"/>
                            </w:rPr>
                            <w:fldChar w:fldCharType="separate"/>
                          </w:r>
                          <w:r>
                            <w:t>- 2 -</w:t>
                          </w:r>
                          <w:r>
                            <w:rPr>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33C8EFB4">
                    <w:pPr>
                      <w:pStyle w:val="4"/>
                    </w:pPr>
                    <w:r>
                      <w:rPr>
                        <w:sz w:val="24"/>
                      </w:rPr>
                      <w:fldChar w:fldCharType="begin"/>
                    </w:r>
                    <w:r>
                      <w:rPr>
                        <w:sz w:val="24"/>
                      </w:rPr>
                      <w:instrText xml:space="preserve"> PAGE  \* MERGEFORMAT </w:instrText>
                    </w:r>
                    <w:r>
                      <w:rPr>
                        <w:sz w:val="24"/>
                      </w:rPr>
                      <w:fldChar w:fldCharType="separate"/>
                    </w:r>
                    <w:r>
                      <w:t>- 2 -</w:t>
                    </w:r>
                    <w:r>
                      <w:rPr>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E212A"/>
    <w:rsid w:val="18EA1B79"/>
    <w:rsid w:val="748E2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widowControl w:val="0"/>
      <w:autoSpaceDE w:val="0"/>
      <w:autoSpaceDN w:val="0"/>
      <w:spacing w:before="39"/>
      <w:ind w:left="28"/>
      <w:outlineLvl w:val="0"/>
    </w:pPr>
    <w:rPr>
      <w:rFonts w:ascii="Adobe 宋体 Std L" w:hAnsi="Adobe 宋体 Std L" w:eastAsia="Adobe 宋体 Std L" w:cs="Adobe 宋体 Std L"/>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Body Text First Indent 2"/>
    <w:basedOn w:val="3"/>
    <w:unhideWhenUsed/>
    <w:qFormat/>
    <w:uiPriority w:val="99"/>
    <w:pPr>
      <w:ind w:firstLine="420" w:firstLineChars="200"/>
    </w:pPr>
  </w:style>
  <w:style w:type="paragraph" w:customStyle="1" w:styleId="10">
    <w:name w:val="Table Paragraph"/>
    <w:basedOn w:val="1"/>
    <w:qFormat/>
    <w:uiPriority w:val="1"/>
    <w:pPr>
      <w:widowControl w:val="0"/>
      <w:autoSpaceDE w:val="0"/>
      <w:autoSpaceDN w:val="0"/>
      <w:ind w:left="107"/>
    </w:pPr>
    <w:rPr>
      <w:rFonts w:ascii="Adobe 宋体 Std L" w:hAnsi="Adobe 宋体 Std L" w:eastAsia="Adobe 宋体 Std L" w:cs="Adobe 宋体 Std L"/>
      <w:sz w:val="22"/>
      <w:szCs w:val="22"/>
    </w:rPr>
  </w:style>
  <w:style w:type="table" w:customStyle="1" w:styleId="11">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2">
    <w:name w:val="正文-公1"/>
    <w:basedOn w:val="13"/>
    <w:next w:val="5"/>
    <w:qFormat/>
    <w:uiPriority w:val="0"/>
    <w:pPr>
      <w:widowControl w:val="0"/>
      <w:ind w:firstLine="200" w:firstLineChars="200"/>
      <w:jc w:val="both"/>
    </w:pPr>
    <w:rPr>
      <w:rFonts w:ascii="Calibri" w:hAnsi="Calibri" w:eastAsia="宋体" w:cs="Times New Roman"/>
      <w:color w:val="000000"/>
      <w:kern w:val="2"/>
      <w:sz w:val="21"/>
      <w:szCs w:val="22"/>
      <w:lang w:val="en-US" w:eastAsia="zh-CN" w:bidi="ar-SA"/>
    </w:rPr>
  </w:style>
  <w:style w:type="paragraph" w:customStyle="1" w:styleId="13">
    <w:name w:val="正文 New New New New New New New New New New New New New New New New New New"/>
    <w:next w:val="12"/>
    <w:qFormat/>
    <w:uiPriority w:val="0"/>
    <w:pPr>
      <w:widowControl w:val="0"/>
      <w:jc w:val="both"/>
    </w:pPr>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1494</Words>
  <Characters>8372</Characters>
  <Lines>0</Lines>
  <Paragraphs>0</Paragraphs>
  <TotalTime>0</TotalTime>
  <ScaleCrop>false</ScaleCrop>
  <LinksUpToDate>false</LinksUpToDate>
  <CharactersWithSpaces>9759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2025-08-08T06:42:00Z</dcterms:created>
  <dc:creator>潘凯玥</dc:creator>
  <cp:lastModifiedBy>潘凯玥</cp:lastModifiedBy>
  <dcterms:modified xsi:type="dcterms:W3CDTF">2025-08-08T07:02:55Z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F3573799E6A0433D82104BF2266D7FB4_11</vt:lpwstr>
  </property>
  <property fmtid="{D5CDD505-2E9C-101B-9397-08002B2CF9AE}" pid="4" name="KSOTemplateDocerSaveRecord">
    <vt:lpwstr>eyJoZGlkIjoiYTFhYmFmODM1MzllNTlhZWU3ZjM2MThkZTRkMWQzMGEiLCJ1c2VySWQiOiIyODczNjUzMTYifQ==</vt:lpwstr>
  </property>
</Properties>
</file>